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96" w:rsidRPr="00A50469" w:rsidRDefault="007D2EEC" w:rsidP="007D2EEC">
      <w:pPr>
        <w:jc w:val="center"/>
        <w:rPr>
          <w:rFonts w:ascii="Tahoma" w:hAnsi="Tahoma" w:cs="Tahoma"/>
          <w:sz w:val="36"/>
          <w:szCs w:val="36"/>
        </w:rPr>
      </w:pPr>
      <w:r w:rsidRPr="00A50469">
        <w:rPr>
          <w:rFonts w:ascii="Tahoma" w:hAnsi="Tahoma" w:cs="Tahoma" w:hint="eastAsia"/>
          <w:sz w:val="36"/>
          <w:szCs w:val="36"/>
        </w:rPr>
        <w:t>伦理委员会工作程序</w:t>
      </w:r>
    </w:p>
    <w:p w:rsidR="001B64D1" w:rsidRPr="00273CA3" w:rsidRDefault="001B64D1">
      <w:pPr>
        <w:rPr>
          <w:rFonts w:ascii="Tahoma" w:hAnsi="Tahoma" w:cs="Tahoma"/>
          <w:szCs w:val="21"/>
        </w:rPr>
      </w:pPr>
    </w:p>
    <w:p w:rsidR="001B64D1" w:rsidRPr="00445862" w:rsidRDefault="00445862" w:rsidP="00445862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445862">
        <w:rPr>
          <w:rFonts w:ascii="宋体" w:hAnsi="宋体" w:hint="eastAsia"/>
          <w:sz w:val="28"/>
          <w:szCs w:val="28"/>
        </w:rPr>
        <w:t>伦理委员会工作必须以《赫尔辛基宣言》为指导原则，以《药物临床试验质量管理规范》、《药物临床试验伦理审查工作指导原则》为基础，遵守中国法律、法规，确保临床试验的科学性和可靠性，保障受试者权益，为临床试验提供公正保障。</w:t>
      </w:r>
      <w:r w:rsidR="001B64D1" w:rsidRPr="00445862">
        <w:rPr>
          <w:rFonts w:ascii="宋体" w:hAnsi="宋体"/>
          <w:sz w:val="28"/>
          <w:szCs w:val="28"/>
        </w:rPr>
        <w:t>伦理委员会的工作性质是独立的，不受临床研究组织和研究者的干扰或影响。</w:t>
      </w:r>
    </w:p>
    <w:p w:rsidR="001B64D1" w:rsidRPr="00445862" w:rsidRDefault="001B64D1" w:rsidP="00445862">
      <w:pPr>
        <w:widowControl/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 w:rsidRPr="00445862">
        <w:rPr>
          <w:rFonts w:ascii="宋体" w:hAnsi="宋体"/>
          <w:sz w:val="28"/>
          <w:szCs w:val="28"/>
        </w:rPr>
        <w:t>工作程序</w:t>
      </w:r>
      <w:r w:rsidR="00586CB2">
        <w:rPr>
          <w:rFonts w:ascii="宋体" w:hAnsi="宋体" w:hint="eastAsia"/>
          <w:sz w:val="28"/>
          <w:szCs w:val="28"/>
        </w:rPr>
        <w:t>如下：</w:t>
      </w:r>
    </w:p>
    <w:p w:rsidR="00693717" w:rsidRPr="00445862" w:rsidRDefault="00693717" w:rsidP="00445862">
      <w:pPr>
        <w:pStyle w:val="a6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 w:rsidRPr="00445862">
        <w:rPr>
          <w:rFonts w:ascii="宋体" w:hAnsi="宋体" w:hint="eastAsia"/>
          <w:sz w:val="28"/>
          <w:szCs w:val="28"/>
        </w:rPr>
        <w:t>申请人填写伦理审查申请表及把相关申请材料递交伦理委员会</w:t>
      </w:r>
    </w:p>
    <w:p w:rsidR="00693717" w:rsidRPr="00445862" w:rsidRDefault="00FB6842" w:rsidP="00445862">
      <w:pPr>
        <w:pStyle w:val="a6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伦理委员会秘书受理申请，对</w:t>
      </w:r>
      <w:r w:rsidR="00693717" w:rsidRPr="00445862">
        <w:rPr>
          <w:rFonts w:ascii="宋体" w:hAnsi="宋体" w:hint="eastAsia"/>
          <w:sz w:val="28"/>
          <w:szCs w:val="28"/>
        </w:rPr>
        <w:t>申请材料进行形式审查；给申请人发出受理通知书或补充修改送审材料通知。</w:t>
      </w:r>
    </w:p>
    <w:p w:rsidR="00693717" w:rsidRPr="00445862" w:rsidRDefault="00693717" w:rsidP="00445862">
      <w:pPr>
        <w:pStyle w:val="a6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 w:rsidRPr="00445862">
        <w:rPr>
          <w:rFonts w:ascii="宋体" w:hAnsi="宋体" w:hint="eastAsia"/>
          <w:sz w:val="28"/>
          <w:szCs w:val="28"/>
        </w:rPr>
        <w:t>伦理委员会进行项</w:t>
      </w:r>
      <w:r w:rsidR="00FB6842">
        <w:rPr>
          <w:rFonts w:ascii="宋体" w:hAnsi="宋体" w:hint="eastAsia"/>
          <w:sz w:val="28"/>
          <w:szCs w:val="28"/>
        </w:rPr>
        <w:t>目</w:t>
      </w:r>
      <w:r w:rsidRPr="00445862">
        <w:rPr>
          <w:rFonts w:ascii="宋体" w:hAnsi="宋体" w:hint="eastAsia"/>
          <w:sz w:val="28"/>
          <w:szCs w:val="28"/>
        </w:rPr>
        <w:t>初始审查，对审查意见或审查批件通知申请人。</w:t>
      </w:r>
    </w:p>
    <w:p w:rsidR="00693717" w:rsidRPr="00445862" w:rsidRDefault="00FB6842" w:rsidP="00445862">
      <w:pPr>
        <w:pStyle w:val="a6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在研究过程</w:t>
      </w:r>
      <w:r w:rsidR="00BF474F" w:rsidRPr="00445862">
        <w:rPr>
          <w:rFonts w:ascii="宋体" w:hAnsi="宋体" w:hint="eastAsia"/>
          <w:sz w:val="28"/>
          <w:szCs w:val="28"/>
        </w:rPr>
        <w:t>中，申请人要向伦理委员会递交研究进展报告、SAE</w:t>
      </w:r>
      <w:r>
        <w:rPr>
          <w:rFonts w:ascii="宋体" w:hAnsi="宋体" w:hint="eastAsia"/>
          <w:sz w:val="28"/>
          <w:szCs w:val="28"/>
        </w:rPr>
        <w:t>报告、违背方案报告</w:t>
      </w:r>
      <w:r w:rsidR="00BF474F" w:rsidRPr="00445862">
        <w:rPr>
          <w:rFonts w:ascii="宋体" w:hAnsi="宋体" w:hint="eastAsia"/>
          <w:sz w:val="28"/>
          <w:szCs w:val="28"/>
        </w:rPr>
        <w:t>等；伦理委员会对其</w:t>
      </w:r>
      <w:r w:rsidR="00693717" w:rsidRPr="00445862">
        <w:rPr>
          <w:rFonts w:ascii="宋体" w:hAnsi="宋体" w:hint="eastAsia"/>
          <w:sz w:val="28"/>
          <w:szCs w:val="28"/>
        </w:rPr>
        <w:t>进行跟踪审查、SAE审查、违背方案</w:t>
      </w:r>
      <w:r>
        <w:rPr>
          <w:rFonts w:ascii="宋体" w:hAnsi="宋体" w:hint="eastAsia"/>
          <w:sz w:val="28"/>
          <w:szCs w:val="28"/>
        </w:rPr>
        <w:t>报告</w:t>
      </w:r>
      <w:r w:rsidR="00BF474F" w:rsidRPr="00445862">
        <w:rPr>
          <w:rFonts w:ascii="宋体" w:hAnsi="宋体" w:hint="eastAsia"/>
          <w:sz w:val="28"/>
          <w:szCs w:val="28"/>
        </w:rPr>
        <w:t>等审查，对审查意见或审查批件通知申请人。复审申请：上述初始审查和跟踪审查后，按伦理审查意见“作必要的修正后同意”、“作必要的修正后重审”，对方案进行修改后，应以“复审申请”的方式再次送审，经伦理委员会批准后方可实施。</w:t>
      </w:r>
    </w:p>
    <w:p w:rsidR="00BF474F" w:rsidRPr="00445862" w:rsidRDefault="00BF474F" w:rsidP="00445862">
      <w:pPr>
        <w:pStyle w:val="a6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 w:rsidRPr="00445862">
        <w:rPr>
          <w:rFonts w:ascii="宋体" w:hAnsi="宋体" w:hint="eastAsia"/>
          <w:sz w:val="28"/>
          <w:szCs w:val="28"/>
        </w:rPr>
        <w:lastRenderedPageBreak/>
        <w:t>研究结束或暂停，申请人要向伦理委员会递交结题或暂停报告及总结报告。伦理委员会对其进行审查</w:t>
      </w:r>
      <w:r w:rsidR="00A50469" w:rsidRPr="00445862">
        <w:rPr>
          <w:rFonts w:ascii="宋体" w:hAnsi="宋体" w:hint="eastAsia"/>
          <w:sz w:val="28"/>
          <w:szCs w:val="28"/>
        </w:rPr>
        <w:t>，对审查意见通知申请人。</w:t>
      </w:r>
    </w:p>
    <w:p w:rsidR="00A50469" w:rsidRPr="00445862" w:rsidRDefault="00A50469" w:rsidP="00445862">
      <w:pPr>
        <w:numPr>
          <w:ilvl w:val="0"/>
          <w:numId w:val="4"/>
        </w:numPr>
        <w:tabs>
          <w:tab w:val="left" w:pos="840"/>
        </w:tabs>
        <w:spacing w:line="360" w:lineRule="auto"/>
        <w:rPr>
          <w:rFonts w:ascii="宋体" w:hAnsi="宋体"/>
          <w:sz w:val="28"/>
          <w:szCs w:val="28"/>
        </w:rPr>
      </w:pPr>
      <w:r w:rsidRPr="00445862">
        <w:rPr>
          <w:rFonts w:ascii="宋体" w:hAnsi="宋体" w:hint="eastAsia"/>
          <w:sz w:val="28"/>
          <w:szCs w:val="28"/>
        </w:rPr>
        <w:t>在研究结束后资料归档，将档案保存至少研究结束后5年。</w:t>
      </w:r>
    </w:p>
    <w:p w:rsidR="00BF474F" w:rsidRPr="00445862" w:rsidRDefault="00BF474F" w:rsidP="00A50469">
      <w:pPr>
        <w:pStyle w:val="a6"/>
        <w:widowControl/>
        <w:ind w:left="360" w:firstLineChars="0" w:firstLine="0"/>
        <w:jc w:val="left"/>
        <w:rPr>
          <w:rFonts w:ascii="宋体" w:hAnsi="宋体"/>
          <w:sz w:val="28"/>
          <w:szCs w:val="28"/>
        </w:rPr>
      </w:pPr>
    </w:p>
    <w:p w:rsidR="00586CB2" w:rsidRDefault="006537DE" w:rsidP="00586CB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52.3pt;margin-top:72.15pt;width:.75pt;height:140.25pt;z-index:251663360" o:connectortype="straight" strokecolor="gray" strokeweight="4.75p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3pt;margin-top:85.8pt;width:42.4pt;height:111.05pt;z-index:251660288" fillcolor="#9cf" stroked="f">
            <v:fill opacity="0"/>
            <v:textbox style="layout-flow:vertical-ideographic;mso-next-textbox:#_x0000_s1026;mso-fit-shape-to-text:t">
              <w:txbxContent>
                <w:p w:rsidR="00586CB2" w:rsidRDefault="00586CB2" w:rsidP="00586CB2">
                  <w:pPr>
                    <w:spacing w:line="280" w:lineRule="exact"/>
                    <w:jc w:val="center"/>
                    <w:rPr>
                      <w:rFonts w:ascii="黑体" w:eastAsia="黑体"/>
                      <w:sz w:val="24"/>
                      <w:szCs w:val="24"/>
                    </w:rPr>
                  </w:pPr>
                  <w:r w:rsidRPr="00150202">
                    <w:rPr>
                      <w:rFonts w:ascii="黑体" w:eastAsia="黑体" w:hint="eastAsia"/>
                      <w:sz w:val="24"/>
                      <w:szCs w:val="24"/>
                    </w:rPr>
                    <w:t>改送审材料通知</w:t>
                  </w:r>
                </w:p>
                <w:p w:rsidR="00586CB2" w:rsidRPr="00DA436F" w:rsidRDefault="00586CB2" w:rsidP="00586CB2">
                  <w:pPr>
                    <w:spacing w:line="280" w:lineRule="exact"/>
                    <w:jc w:val="center"/>
                    <w:rPr>
                      <w:rFonts w:ascii="黑体" w:eastAsia="黑体"/>
                      <w:sz w:val="24"/>
                      <w:szCs w:val="24"/>
                    </w:rPr>
                  </w:pPr>
                  <w:r w:rsidRPr="00150202">
                    <w:rPr>
                      <w:rFonts w:ascii="黑体" w:eastAsia="黑体" w:hint="eastAsia"/>
                      <w:sz w:val="24"/>
                      <w:szCs w:val="24"/>
                    </w:rPr>
                    <w:t>受理通知书、补充修</w:t>
                  </w:r>
                </w:p>
              </w:txbxContent>
            </v:textbox>
          </v:shape>
        </w:pict>
      </w:r>
      <w:r w:rsidR="00586CB2" w:rsidRPr="004A0A29">
        <w:rPr>
          <w:rFonts w:ascii="黑体" w:eastAsia="黑体" w:hAnsi="黑体" w:hint="eastAsia"/>
          <w:sz w:val="32"/>
          <w:szCs w:val="32"/>
        </w:rPr>
        <w:t>伦理委员会工作程序流程图</w:t>
      </w:r>
    </w:p>
    <w:p w:rsidR="00586CB2" w:rsidRDefault="006537DE" w:rsidP="00586CB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group id="_x0000_s1027" style="position:absolute;left:0;text-align:left;margin-left:8.05pt;margin-top:4.2pt;width:413.55pt;height:378pt;z-index:251661312" coordorigin="2051,2772" coordsize="8271,756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28" type="#_x0000_t176" style="position:absolute;left:2186;top:2772;width:6975;height:735" fillcolor="#9cf">
              <v:textbox style="mso-next-textbox:#_x0000_s1028">
                <w:txbxContent>
                  <w:p w:rsidR="00586CB2" w:rsidRPr="00BF47D8" w:rsidRDefault="00586CB2" w:rsidP="00586CB2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36"/>
                        <w:szCs w:val="36"/>
                      </w:rPr>
                    </w:pPr>
                    <w:r w:rsidRPr="00BF47D8">
                      <w:rPr>
                        <w:rFonts w:ascii="黑体" w:eastAsia="黑体" w:hint="eastAsia"/>
                        <w:b/>
                        <w:bCs/>
                        <w:sz w:val="36"/>
                        <w:szCs w:val="36"/>
                      </w:rPr>
                      <w:t>申</w:t>
                    </w:r>
                    <w:r w:rsidRPr="00BF47D8">
                      <w:rPr>
                        <w:rFonts w:ascii="黑体" w:eastAsia="黑体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BF47D8">
                      <w:rPr>
                        <w:rFonts w:ascii="黑体" w:eastAsia="黑体" w:hint="eastAsia"/>
                        <w:b/>
                        <w:bCs/>
                        <w:sz w:val="36"/>
                        <w:szCs w:val="36"/>
                      </w:rPr>
                      <w:t>请</w:t>
                    </w:r>
                    <w:r w:rsidRPr="00BF47D8">
                      <w:rPr>
                        <w:rFonts w:ascii="黑体" w:eastAsia="黑体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BF47D8">
                      <w:rPr>
                        <w:rFonts w:ascii="黑体" w:eastAsia="黑体" w:hint="eastAsia"/>
                        <w:b/>
                        <w:bCs/>
                        <w:sz w:val="36"/>
                        <w:szCs w:val="36"/>
                      </w:rPr>
                      <w:t>人</w:t>
                    </w:r>
                  </w:p>
                </w:txbxContent>
              </v:textbox>
            </v:shape>
            <v:shape id="_x0000_s1029" type="#_x0000_t176" style="position:absolute;left:6375;top:6312;width:1155;height:4020" fillcolor="#9cf">
              <v:textbox style="layout-flow:vertical-ideographic;mso-next-textbox:#_x0000_s1029">
                <w:txbxContent>
                  <w:p w:rsidR="00586CB2" w:rsidRPr="00150202" w:rsidRDefault="00586CB2" w:rsidP="00586CB2">
                    <w:pPr>
                      <w:spacing w:line="360" w:lineRule="exact"/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复审</w:t>
                    </w:r>
                  </w:p>
                  <w:p w:rsidR="00586CB2" w:rsidRPr="004A0A29" w:rsidRDefault="00586CB2" w:rsidP="00586CB2">
                    <w:pPr>
                      <w:spacing w:line="360" w:lineRule="exact"/>
                      <w:jc w:val="center"/>
                      <w:rPr>
                        <w:rFonts w:ascii="黑体" w:eastAsia="黑体" w:hAnsi="宋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Ansi="宋体" w:hint="eastAsia"/>
                        <w:b/>
                        <w:bCs/>
                        <w:sz w:val="28"/>
                        <w:szCs w:val="28"/>
                      </w:rPr>
                      <w:t>跟踪审查</w:t>
                    </w:r>
                  </w:p>
                </w:txbxContent>
              </v:textbox>
            </v:shape>
            <v:shape id="_x0000_s1030" type="#_x0000_t176" style="position:absolute;left:8174;top:6312;width:840;height:4020" fillcolor="#9cf">
              <v:textbox style="layout-flow:vertical-ideographic;mso-next-textbox:#_x0000_s1030">
                <w:txbxContent>
                  <w:p w:rsidR="00586CB2" w:rsidRPr="00150202" w:rsidRDefault="00586CB2" w:rsidP="00586CB2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总</w:t>
                    </w:r>
                    <w:r w:rsidRPr="00150202"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结</w:t>
                    </w:r>
                  </w:p>
                </w:txbxContent>
              </v:textbox>
            </v:shape>
            <v:shape id="_x0000_s1031" type="#_x0000_t176" style="position:absolute;left:9452;top:6312;width:870;height:4020" fillcolor="#9cf">
              <v:textbox style="layout-flow:vertical-ideographic;mso-next-textbox:#_x0000_s1031">
                <w:txbxContent>
                  <w:p w:rsidR="00586CB2" w:rsidRPr="00150202" w:rsidRDefault="00586CB2" w:rsidP="00586CB2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资料归档</w:t>
                    </w:r>
                  </w:p>
                </w:txbxContent>
              </v:textbox>
            </v:shape>
            <v:shape id="_x0000_s1032" type="#_x0000_t176" style="position:absolute;left:2051;top:6312;width:885;height:4020" fillcolor="#9cf">
              <v:textbox style="layout-flow:vertical-ideographic;mso-next-textbox:#_x0000_s1032">
                <w:txbxContent>
                  <w:p w:rsidR="00586CB2" w:rsidRPr="00150202" w:rsidRDefault="00586CB2" w:rsidP="00586CB2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医学伦理委员会</w:t>
                    </w:r>
                  </w:p>
                </w:txbxContent>
              </v:textbox>
            </v:shape>
            <v:shape id="_x0000_s1033" type="#_x0000_t176" style="position:absolute;left:4730;top:6312;width:918;height:4020" fillcolor="#9cf">
              <v:textbox style="layout-flow:vertical-ideographic;mso-next-textbox:#_x0000_s1033">
                <w:txbxContent>
                  <w:p w:rsidR="00586CB2" w:rsidRPr="00150202" w:rsidRDefault="00586CB2" w:rsidP="00586CB2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项目初始审查</w:t>
                    </w:r>
                  </w:p>
                </w:txbxContent>
              </v:textbox>
            </v:shape>
            <v:shape id="_x0000_s1034" type="#_x0000_t176" style="position:absolute;left:3401;top:6312;width:900;height:4020" fillcolor="#9cf">
              <v:textbox style="layout-flow:vertical-ideographic;mso-next-textbox:#_x0000_s1034">
                <w:txbxContent>
                  <w:p w:rsidR="00586CB2" w:rsidRPr="00150202" w:rsidRDefault="00586CB2" w:rsidP="00586CB2">
                    <w:pPr>
                      <w:jc w:val="center"/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</w:pP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受理申请</w:t>
                    </w:r>
                    <w:r w:rsidRPr="00150202">
                      <w:rPr>
                        <w:rFonts w:ascii="黑体" w:eastAsia="黑体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 w:rsidRPr="00150202">
                      <w:rPr>
                        <w:rFonts w:ascii="黑体" w:eastAsia="黑体" w:hint="eastAsia"/>
                        <w:b/>
                        <w:bCs/>
                        <w:sz w:val="28"/>
                        <w:szCs w:val="28"/>
                      </w:rPr>
                      <w:t>形式审查</w:t>
                    </w:r>
                  </w:p>
                </w:txbxContent>
              </v:textbox>
            </v:shape>
          </v:group>
        </w:pict>
      </w:r>
    </w:p>
    <w:p w:rsidR="00586CB2" w:rsidRDefault="006537DE" w:rsidP="00586CB2">
      <w:pPr>
        <w:tabs>
          <w:tab w:val="center" w:pos="4153"/>
          <w:tab w:val="left" w:pos="6480"/>
        </w:tabs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group id="_x0000_s1047" style="position:absolute;margin-left:-2.3pt;margin-top:23.3pt;width:379.65pt;height:126.7pt;z-index:251664384" coordorigin="1859,3778" coordsize="7593,2534">
            <v:shape id="_x0000_s1048" type="#_x0000_t202" style="position:absolute;left:1859;top:3778;width:912;height:2221" fillcolor="#9cf" stroked="f">
              <v:fill opacity="0"/>
              <v:textbox style="layout-flow:vertical-ideographic;mso-next-textbox:#_x0000_s1048;mso-fit-shape-to-text:t">
                <w:txbxContent>
                  <w:p w:rsidR="00586CB2" w:rsidRPr="00150202" w:rsidRDefault="00586CB2" w:rsidP="00586CB2">
                    <w:pPr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申请表、申请材料</w:t>
                    </w:r>
                  </w:p>
                </w:txbxContent>
              </v:textbox>
            </v:shape>
            <v:shape id="_x0000_s1049" type="#_x0000_t202" style="position:absolute;left:4212;top:4091;width:1066;height:2221" fillcolor="#9cf" stroked="f">
              <v:fill opacity="0"/>
              <v:textbox style="layout-flow:vertical-ideographic;mso-next-textbox:#_x0000_s1049">
                <w:txbxContent>
                  <w:p w:rsidR="00586CB2" w:rsidRPr="00150202" w:rsidRDefault="00586CB2" w:rsidP="00586CB2">
                    <w:pPr>
                      <w:spacing w:line="360" w:lineRule="exact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审查意见通知</w:t>
                    </w:r>
                  </w:p>
                  <w:p w:rsidR="00586CB2" w:rsidRPr="00150202" w:rsidRDefault="00586CB2" w:rsidP="00586CB2">
                    <w:pPr>
                      <w:spacing w:line="360" w:lineRule="exact"/>
                      <w:ind w:firstLineChars="100" w:firstLine="240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审查批件</w:t>
                    </w:r>
                  </w:p>
                </w:txbxContent>
              </v:textbox>
            </v:shape>
            <v:shape id="_x0000_s1050" type="#_x0000_t202" style="position:absolute;left:5998;top:3780;width:1128;height:2221" fillcolor="#9cf" stroked="f">
              <v:fill opacity="0"/>
              <v:textbox style="layout-flow:vertical-ideographic;mso-next-textbox:#_x0000_s1050;mso-fit-shape-to-text:t">
                <w:txbxContent>
                  <w:p w:rsidR="00586CB2" w:rsidRDefault="00586CB2" w:rsidP="00586CB2">
                    <w:pPr>
                      <w:spacing w:line="28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>
                      <w:rPr>
                        <w:rFonts w:ascii="黑体" w:eastAsia="黑体" w:hint="eastAsia"/>
                        <w:sz w:val="24"/>
                        <w:szCs w:val="24"/>
                      </w:rPr>
                      <w:t>复审申请</w:t>
                    </w:r>
                  </w:p>
                  <w:p w:rsidR="00586CB2" w:rsidRPr="00FD38B4" w:rsidRDefault="00586CB2" w:rsidP="00586CB2">
                    <w:pPr>
                      <w:spacing w:line="28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FD38B4">
                      <w:rPr>
                        <w:rFonts w:ascii="黑体" w:eastAsia="黑体" w:hint="eastAsia"/>
                        <w:sz w:val="24"/>
                        <w:szCs w:val="24"/>
                      </w:rPr>
                      <w:t>跟踪审查、</w:t>
                    </w:r>
                    <w:r w:rsidRPr="00FD38B4">
                      <w:rPr>
                        <w:rFonts w:ascii="黑体" w:eastAsia="黑体" w:hint="eastAsia"/>
                        <w:b/>
                        <w:sz w:val="24"/>
                        <w:szCs w:val="24"/>
                      </w:rPr>
                      <w:t>SAE</w:t>
                    </w:r>
                    <w:r w:rsidRPr="00FD38B4">
                      <w:rPr>
                        <w:rFonts w:ascii="黑体" w:eastAsia="黑体" w:hint="eastAsia"/>
                        <w:sz w:val="24"/>
                        <w:szCs w:val="24"/>
                      </w:rPr>
                      <w:t>、违背方案报告</w:t>
                    </w:r>
                  </w:p>
                </w:txbxContent>
              </v:textbox>
            </v:shape>
            <v:shape id="_x0000_s1051" type="#_x0000_t202" style="position:absolute;left:7088;top:3778;width:1008;height:2221" fillcolor="#9cf" stroked="f">
              <v:fill opacity="0"/>
              <v:textbox style="layout-flow:vertical-ideographic;mso-next-textbox:#_x0000_s1051;mso-fit-shape-to-text:t">
                <w:txbxContent>
                  <w:p w:rsidR="00586CB2" w:rsidRPr="00150202" w:rsidRDefault="00586CB2" w:rsidP="00586CB2">
                    <w:pPr>
                      <w:spacing w:line="36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审查批件</w:t>
                    </w:r>
                  </w:p>
                  <w:p w:rsidR="00586CB2" w:rsidRPr="00150202" w:rsidRDefault="00586CB2" w:rsidP="00586CB2">
                    <w:pPr>
                      <w:spacing w:line="36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审查意见通知</w:t>
                    </w:r>
                  </w:p>
                </w:txbxContent>
              </v:textbox>
            </v:shape>
            <v:shape id="_x0000_s1052" type="#_x0000_t202" style="position:absolute;left:8444;top:3778;width:1008;height:2221" fillcolor="#9cf" stroked="f">
              <v:fill opacity="0"/>
              <v:textbox style="layout-flow:vertical-ideographic;mso-next-textbox:#_x0000_s1052;mso-fit-shape-to-text:t">
                <w:txbxContent>
                  <w:p w:rsidR="00586CB2" w:rsidRDefault="00586CB2" w:rsidP="00586CB2">
                    <w:pPr>
                      <w:spacing w:line="36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总结报告</w:t>
                    </w:r>
                  </w:p>
                  <w:p w:rsidR="00586CB2" w:rsidRPr="00DA436F" w:rsidRDefault="00586CB2" w:rsidP="00586CB2">
                    <w:pPr>
                      <w:spacing w:line="360" w:lineRule="exact"/>
                      <w:jc w:val="center"/>
                      <w:rPr>
                        <w:rFonts w:ascii="黑体" w:eastAsia="黑体"/>
                        <w:sz w:val="24"/>
                        <w:szCs w:val="24"/>
                      </w:rPr>
                    </w:pPr>
                    <w:r w:rsidRPr="00150202">
                      <w:rPr>
                        <w:rFonts w:ascii="黑体" w:eastAsia="黑体" w:hint="eastAsia"/>
                        <w:sz w:val="24"/>
                        <w:szCs w:val="24"/>
                      </w:rPr>
                      <w:t>结题报告</w:t>
                    </w:r>
                  </w:p>
                </w:txbxContent>
              </v:textbox>
            </v:shape>
          </v:group>
        </w:pict>
      </w:r>
      <w:r w:rsidR="00586CB2">
        <w:rPr>
          <w:rFonts w:ascii="黑体" w:eastAsia="黑体" w:hAnsi="黑体"/>
          <w:sz w:val="32"/>
          <w:szCs w:val="32"/>
        </w:rPr>
        <w:tab/>
      </w:r>
      <w:r>
        <w:rPr>
          <w:rFonts w:ascii="黑体" w:eastAsia="黑体" w:hAnsi="黑体"/>
          <w:noProof/>
          <w:sz w:val="32"/>
          <w:szCs w:val="32"/>
        </w:rPr>
        <w:pict>
          <v:group id="_x0000_s1035" style="position:absolute;margin-left:32.05pt;margin-top:9.75pt;width:346.8pt;height:240.75pt;z-index:251662336;mso-position-horizontal-relative:text;mso-position-vertical-relative:text" coordorigin="2516,3507" coordsize="6936,4815">
            <v:shape id="_x0000_s1036" type="#_x0000_t32" style="position:absolute;left:2516;top:3507;width:0;height:2805" o:connectortype="straight" strokecolor="gray" strokeweight="4.75pt">
              <v:stroke endarrow="block"/>
            </v:shape>
            <v:shape id="_x0000_s1037" type="#_x0000_t32" style="position:absolute;left:3866;top:3507;width:0;height:2805;flip:y" o:connectortype="straight" strokecolor="gray" strokeweight="4.75pt">
              <v:stroke endarrow="block"/>
            </v:shape>
            <v:shape id="_x0000_s1038" type="#_x0000_t32" style="position:absolute;left:5201;top:3507;width:0;height:2805;flip:y" o:connectortype="straight" strokecolor="gray" strokeweight="4.75pt">
              <v:stroke endarrow="block"/>
            </v:shape>
            <v:shape id="_x0000_s1039" type="#_x0000_t32" style="position:absolute;left:7089;top:3507;width:0;height:2805;flip:y" o:connectortype="straight" strokecolor="gray" strokeweight="4.75pt">
              <v:stroke endarrow="block"/>
            </v:shape>
            <v:shape id="_x0000_s1040" type="#_x0000_t32" style="position:absolute;left:8580;top:3507;width:15;height:2805" o:connectortype="straight" strokecolor="gray" strokeweight="4.75pt">
              <v:stroke endarrow="block"/>
            </v:shape>
            <v:shape id="_x0000_s1041" type="#_x0000_t32" style="position:absolute;left:2963;top:8322;width:438;height:0" o:connectortype="straight" strokecolor="gray" strokeweight="4.75pt">
              <v:stroke endarrow="block"/>
            </v:shape>
            <v:shape id="_x0000_s1042" type="#_x0000_t32" style="position:absolute;left:7658;top:8322;width:438;height:0" o:connectortype="straight" strokecolor="gray" strokeweight="4.75pt">
              <v:stroke endarrow="block"/>
            </v:shape>
            <v:shape id="_x0000_s1043" type="#_x0000_t32" style="position:absolute;left:5796;top:8322;width:438;height:0" o:connectortype="straight" strokecolor="gray" strokeweight="4.75pt">
              <v:stroke endarrow="block"/>
            </v:shape>
            <v:shape id="_x0000_s1044" type="#_x0000_t32" style="position:absolute;left:4292;top:8322;width:438;height:0" o:connectortype="straight" strokecolor="gray" strokeweight="4.75pt">
              <v:stroke endarrow="block"/>
            </v:shape>
            <v:shape id="_x0000_s1045" type="#_x0000_t32" style="position:absolute;left:9014;top:8322;width:438;height:0" o:connectortype="straight" strokecolor="gray" strokeweight="4.75pt">
              <v:stroke endarrow="block"/>
            </v:shape>
          </v:group>
        </w:pict>
      </w:r>
      <w:r w:rsidR="00586CB2">
        <w:rPr>
          <w:rFonts w:ascii="黑体" w:eastAsia="黑体" w:hAnsi="黑体"/>
          <w:sz w:val="32"/>
          <w:szCs w:val="32"/>
        </w:rPr>
        <w:tab/>
      </w:r>
    </w:p>
    <w:p w:rsidR="00586CB2" w:rsidRDefault="00586CB2" w:rsidP="00586CB2">
      <w:pPr>
        <w:jc w:val="center"/>
        <w:rPr>
          <w:rFonts w:ascii="黑体" w:eastAsia="黑体" w:hAnsi="黑体"/>
          <w:sz w:val="32"/>
          <w:szCs w:val="32"/>
        </w:rPr>
      </w:pPr>
    </w:p>
    <w:p w:rsidR="00586CB2" w:rsidRDefault="00586CB2" w:rsidP="00586CB2">
      <w:pPr>
        <w:jc w:val="center"/>
        <w:rPr>
          <w:rFonts w:ascii="黑体" w:eastAsia="黑体" w:hAnsi="黑体"/>
          <w:sz w:val="32"/>
          <w:szCs w:val="32"/>
        </w:rPr>
      </w:pPr>
    </w:p>
    <w:p w:rsidR="00586CB2" w:rsidRPr="004A0A29" w:rsidRDefault="00586CB2" w:rsidP="00586CB2">
      <w:pPr>
        <w:jc w:val="center"/>
        <w:rPr>
          <w:rFonts w:ascii="黑体" w:eastAsia="黑体" w:hAnsi="黑体"/>
          <w:sz w:val="32"/>
          <w:szCs w:val="32"/>
        </w:rPr>
      </w:pPr>
    </w:p>
    <w:p w:rsidR="00586CB2" w:rsidRDefault="00586CB2" w:rsidP="00586CB2">
      <w:pPr>
        <w:shd w:val="clear" w:color="auto" w:fill="FFFFFF"/>
        <w:rPr>
          <w:rFonts w:ascii="黑体" w:eastAsia="黑体" w:hAnsi="黑体"/>
          <w:sz w:val="32"/>
          <w:szCs w:val="32"/>
        </w:rPr>
      </w:pPr>
    </w:p>
    <w:p w:rsidR="00586CB2" w:rsidRPr="004A0A29" w:rsidRDefault="00586CB2" w:rsidP="00586CB2">
      <w:pPr>
        <w:tabs>
          <w:tab w:val="left" w:pos="1500"/>
        </w:tabs>
      </w:pPr>
      <w:r>
        <w:tab/>
      </w:r>
    </w:p>
    <w:p w:rsidR="00693717" w:rsidRPr="00586CB2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693717" w:rsidRDefault="00693717" w:rsidP="001B64D1">
      <w:pPr>
        <w:widowControl/>
        <w:jc w:val="left"/>
        <w:rPr>
          <w:rFonts w:ascii="Arial" w:eastAsia="宋体" w:hAnsi="Arial" w:cs="Arial"/>
          <w:color w:val="666666"/>
          <w:kern w:val="0"/>
          <w:sz w:val="18"/>
          <w:szCs w:val="18"/>
        </w:rPr>
      </w:pPr>
    </w:p>
    <w:p w:rsidR="001B64D1" w:rsidRPr="00C56593" w:rsidRDefault="001B64D1"/>
    <w:sectPr w:rsidR="001B64D1" w:rsidRPr="00C56593" w:rsidSect="00335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BF6" w:rsidRDefault="009F7BF6" w:rsidP="007D2EEC">
      <w:r>
        <w:separator/>
      </w:r>
    </w:p>
  </w:endnote>
  <w:endnote w:type="continuationSeparator" w:id="0">
    <w:p w:rsidR="009F7BF6" w:rsidRDefault="009F7BF6" w:rsidP="007D2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BF6" w:rsidRDefault="009F7BF6" w:rsidP="007D2EEC">
      <w:r>
        <w:separator/>
      </w:r>
    </w:p>
  </w:footnote>
  <w:footnote w:type="continuationSeparator" w:id="0">
    <w:p w:rsidR="009F7BF6" w:rsidRDefault="009F7BF6" w:rsidP="007D2E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ind w:left="773" w:hanging="420"/>
      </w:pPr>
    </w:lvl>
    <w:lvl w:ilvl="1">
      <w:start w:val="1"/>
      <w:numFmt w:val="lowerLetter"/>
      <w:lvlText w:val="%2)"/>
      <w:lvlJc w:val="left"/>
      <w:pPr>
        <w:ind w:left="1193" w:hanging="420"/>
      </w:pPr>
    </w:lvl>
    <w:lvl w:ilvl="2">
      <w:start w:val="1"/>
      <w:numFmt w:val="lowerRoman"/>
      <w:lvlText w:val="%3."/>
      <w:lvlJc w:val="right"/>
      <w:pPr>
        <w:ind w:left="1613" w:hanging="420"/>
      </w:pPr>
    </w:lvl>
    <w:lvl w:ilvl="3">
      <w:start w:val="1"/>
      <w:numFmt w:val="decimal"/>
      <w:lvlText w:val="%4."/>
      <w:lvlJc w:val="left"/>
      <w:pPr>
        <w:ind w:left="2033" w:hanging="420"/>
      </w:pPr>
    </w:lvl>
    <w:lvl w:ilvl="4">
      <w:start w:val="1"/>
      <w:numFmt w:val="lowerLetter"/>
      <w:lvlText w:val="%5)"/>
      <w:lvlJc w:val="left"/>
      <w:pPr>
        <w:ind w:left="2453" w:hanging="420"/>
      </w:pPr>
    </w:lvl>
    <w:lvl w:ilvl="5">
      <w:start w:val="1"/>
      <w:numFmt w:val="lowerRoman"/>
      <w:lvlText w:val="%6."/>
      <w:lvlJc w:val="right"/>
      <w:pPr>
        <w:ind w:left="2873" w:hanging="420"/>
      </w:pPr>
    </w:lvl>
    <w:lvl w:ilvl="6">
      <w:start w:val="1"/>
      <w:numFmt w:val="decimal"/>
      <w:lvlText w:val="%7."/>
      <w:lvlJc w:val="left"/>
      <w:pPr>
        <w:ind w:left="3293" w:hanging="420"/>
      </w:pPr>
    </w:lvl>
    <w:lvl w:ilvl="7">
      <w:start w:val="1"/>
      <w:numFmt w:val="lowerLetter"/>
      <w:lvlText w:val="%8)"/>
      <w:lvlJc w:val="left"/>
      <w:pPr>
        <w:ind w:left="3713" w:hanging="420"/>
      </w:pPr>
    </w:lvl>
    <w:lvl w:ilvl="8">
      <w:start w:val="1"/>
      <w:numFmt w:val="lowerRoman"/>
      <w:lvlText w:val="%9."/>
      <w:lvlJc w:val="right"/>
      <w:pPr>
        <w:ind w:left="4133" w:hanging="420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C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3">
    <w:nsid w:val="2A2D44BA"/>
    <w:multiLevelType w:val="multilevel"/>
    <w:tmpl w:val="00000000"/>
    <w:lvl w:ilvl="0">
      <w:start w:val="1"/>
      <w:numFmt w:val="decimal"/>
      <w:lvlText w:val="%1)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72F737A1"/>
    <w:multiLevelType w:val="hybridMultilevel"/>
    <w:tmpl w:val="C35884E0"/>
    <w:lvl w:ilvl="0" w:tplc="8B32902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E794EBC"/>
    <w:multiLevelType w:val="hybridMultilevel"/>
    <w:tmpl w:val="4E06A28C"/>
    <w:lvl w:ilvl="0" w:tplc="9774CA4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64D1"/>
    <w:rsid w:val="001B64D1"/>
    <w:rsid w:val="00273CA3"/>
    <w:rsid w:val="00335396"/>
    <w:rsid w:val="00335DFF"/>
    <w:rsid w:val="003716E6"/>
    <w:rsid w:val="00445862"/>
    <w:rsid w:val="00476C20"/>
    <w:rsid w:val="00493AA5"/>
    <w:rsid w:val="00586CB2"/>
    <w:rsid w:val="006537DE"/>
    <w:rsid w:val="00693717"/>
    <w:rsid w:val="007D2EEC"/>
    <w:rsid w:val="007D5ED5"/>
    <w:rsid w:val="00977420"/>
    <w:rsid w:val="009F7BF6"/>
    <w:rsid w:val="00A50469"/>
    <w:rsid w:val="00BB1610"/>
    <w:rsid w:val="00BF474F"/>
    <w:rsid w:val="00C51164"/>
    <w:rsid w:val="00C56593"/>
    <w:rsid w:val="00DC47AA"/>
    <w:rsid w:val="00FB6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2" type="connector" idref="#_x0000_s1045"/>
        <o:r id="V:Rule13" type="connector" idref="#_x0000_s1036"/>
        <o:r id="V:Rule14" type="connector" idref="#_x0000_s1038"/>
        <o:r id="V:Rule15" type="connector" idref="#_x0000_s1043"/>
        <o:r id="V:Rule16" type="connector" idref="#_x0000_s1042"/>
        <o:r id="V:Rule17" type="connector" idref="#_x0000_s1046"/>
        <o:r id="V:Rule18" type="connector" idref="#_x0000_s1037"/>
        <o:r id="V:Rule19" type="connector" idref="#_x0000_s1040"/>
        <o:r id="V:Rule20" type="connector" idref="#_x0000_s1041"/>
        <o:r id="V:Rule21" type="connector" idref="#_x0000_s1044"/>
        <o:r id="V:Rule22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3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64D1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D2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D2EE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D2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D2EEC"/>
    <w:rPr>
      <w:sz w:val="18"/>
      <w:szCs w:val="18"/>
    </w:rPr>
  </w:style>
  <w:style w:type="paragraph" w:customStyle="1" w:styleId="1">
    <w:name w:val="列出段落1"/>
    <w:basedOn w:val="a"/>
    <w:rsid w:val="00C56593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6">
    <w:name w:val="List Paragraph"/>
    <w:basedOn w:val="a"/>
    <w:uiPriority w:val="34"/>
    <w:qFormat/>
    <w:rsid w:val="0069371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801489">
          <w:marLeft w:val="0"/>
          <w:marRight w:val="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068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86566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2015-05-25T01:56:00Z</dcterms:created>
  <dcterms:modified xsi:type="dcterms:W3CDTF">2015-06-24T08:06:00Z</dcterms:modified>
</cp:coreProperties>
</file>