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福建省福州结核病防治院移动床边DR拍片机采购项目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CGXM-2025-350101-00625[2025]01261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[350101]SQ[GK]2025004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福建三仟招标有限公司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福建三仟招标有限公司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福建省福州结核病防治院移动床边DR拍片机采购项目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CGXM-2025-350101-00625[2025]01261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[350101]SQ[GK]2025004</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进口产品不适用于本项目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本项不在资格承诺制范围内，供应商须按本项上述要求提供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陈洁宜、马晨晖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福建三仟招标有限公司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福建省福州市仓山区建新镇金洲北路33号1#楼216、217室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吴珊珊、陈庆梅、张杏涛</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0591-83956656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福建三仟招标有限公司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770,000.00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移动床边DR拍片机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移动床边DR拍片机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移动床边DR拍片机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移动床边DR拍片机</w:t>
            </w:r>
          </w:p>
        </w:tc>
        <w:tc>
          <w:tcPr>
            <w:tcW w:type="dxa" w:w="2076"/>
          </w:tcPr>
          <w:p>
            <w:pPr>
              <w:pStyle w:val="null3"/>
              <w:jc w:val="left"/>
            </w:pPr>
            <w:r>
              <w:rPr>
                <w:rFonts w:ascii="仿宋_GB2312" w:hAnsi="仿宋_GB2312" w:cs="仿宋_GB2312" w:eastAsia="仿宋_GB2312"/>
              </w:rPr>
              <w:t>移动床边DR拍片机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相同并列的，则按“评标价（即价格扣除后的投标报价）”的得分从高到低排序推荐中标候选人；投标人评标总得分（FA）且评标价（即价格扣除后的投标报价）相同的并列，则按“技术部分”的得分从高到低排序推荐中标候选人；若投标人评标总得分（FA）且评标价（即价格扣除后的投标报价）和“技术部分”相同并列的，则按“商务部分”的得分从高到低排序推荐中标候选人；若投标人的评标总得分（FA）且评标价（即价格扣除后的投标报价）相同、技术部分、商务部分得分均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福建三仟招标有限公司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代理服务费收费标准：代理服务费由中标人支付，以中标金额作为收费的计算基数，按差额定率累进法收取代理费用，标准如下：100(万元)以下收费费率标准：1.5%。代理服务费缴交银行账号： 开户名： 福建三仟招标有限公司 开户行： 中信银行股份有限公司福州金融街支行 账 号： 8111301011600381637。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一般资格证明文件中要求提供的“财务状况报告(财务报告、或资信证明）”，投标人选择提供资信证明的，无论资信证明内容中是否注明“复印件无效”，均视同有效。2、福建省政府采购网开标大厅中“投标(响应)文件解密”及“确认开标结果”的操作时限均为30分钟，请投标人（供应商）务必密切关注实时开标流程，完成远程解密、远程签章。投标人（供应商）应确保自身设施、设备、网络环境状况良好，在开标过程中因投标人（供应商）自身原因未在规定的操作时间内完成投标(响应)文件的解密、签章：逾期未解密的，视为自行放弃投标（响应），投标人（供应商）未在规定的操作时间内完成远程签章的，视为默认开标结果。）3、中标人应在领取中标通知书的同时提交一正一副的纸质响应文件（纸质投标文件应与电子投标文件一致）。</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福建三仟招标有限公司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福建三仟招标有限公司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福建三仟招标有限公司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福建三仟招标有限公司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福建三仟招标有限公司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福建三仟招标有限公司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福建三仟招标有限公司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福建三仟招标有限公司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福建三仟招标有限公司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福建三仟招标有限公司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福建三仟招标有限公司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福建三仟招标有限公司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福建三仟招标有限公司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福建三仟招标有限公司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福建三仟招标有限公司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福建三仟招标有限公司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福建三仟招标有限公司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福建三仟招标有限公司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福建三仟招标有限公司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福建三仟招标有限公司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福建三仟招标有限公司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福建三仟招标有限公司</w:t>
      </w:r>
      <w:r>
        <w:rPr>
          <w:rFonts w:ascii="仿宋_GB2312" w:hAnsi="仿宋_GB2312" w:cs="仿宋_GB2312" w:eastAsia="仿宋_GB2312"/>
        </w:rPr>
        <w:t xml:space="preserve"> 提出询问， </w:t>
      </w:r>
      <w:r>
        <w:rPr>
          <w:rFonts w:ascii="仿宋_GB2312" w:hAnsi="仿宋_GB2312" w:cs="仿宋_GB2312" w:eastAsia="仿宋_GB2312"/>
        </w:rPr>
        <w:t>福建三仟招标有限公司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福建三仟招标有限公司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福建三仟招标有限公司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由福建三仟招标有限公司派出的工作人员至少1人，</w:t>
      </w:r>
      <w:r>
        <w:rPr>
          <w:rFonts w:ascii="仿宋_GB2312" w:hAnsi="仿宋_GB2312" w:cs="仿宋_GB2312" w:eastAsia="仿宋_GB2312"/>
        </w:rPr>
        <w:t>其余1人可为采购人代表或福建三仟招标有限公司的工作人员。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本项不在资格承诺制范围内，供应商须按本项上述要求提供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福建三仟招标有限公司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福建三仟招标有限公司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福建三仟招标有限公司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福建三仟招标有限公司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福建三仟招标有限公司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1、若投标人的技术部分实际得分少于招标文件设定的技术部分总分50%[即视为技术部分未实质性满足招标文件要求]，按无效投标处理。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2、投标文件的技术部分中出现报价部分的全部或部分的投标报价信息(或组成资料)。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4、不符合招标文件中规定的实质性要求和条件或属于无效投标条款的。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3、不符合招标文件中规定的实质性要求和条件或属于无效投标条款的。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福建三仟招标有限公司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价格项（F1×A1）满分为40.0000分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评审时，对符合《政府采购促进中小企业发展管理办法》（财库﹝2020﹞46号）及《福建省财政厅关于进一步加大政府采购支持中小企业力度的通知》（闽财规〔2022〕13号）规定的小微企业报价给予15%价格扣除，用扣除后的价格参加评审。供应商须提供《政府采购促进中小企业发展管理办法》（财库﹝2020﹞46号）规定的中小企业声明函（格式详见采购文件），否则不予价格扣除。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采购活动价格扣除的通知》，凡符合上述文件要求条件的残疾人福利性单位在参加政府采购活动时视同小型、微型企业，享受预留份额、评审中价格扣除等促进中小企业发展的政府采购政策。此次若有参加报价的对残疾人福利性单位报价部分给予15%的扣除，但必须提供《残疾人福利性单位声明函》（格式详见采购文件），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采购文件中的有关条款与本条款有矛盾之处以此处为准。 5、具体详见采购文件规定，上述规定与政府采购相关法律、法规、制度等有冲突的，以现行法律、法规、制度等执行。注：享受扶持政策获得采购合同的，小微企业不得将合同分包给大中型企业，中型企业不得将合同分包给大型企业。(本项目为货物类采购项目，采购标的对应的中小企业划分标准所属行业为“工业”。)</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1、技术和服务要求响应情况1</w:t>
            </w:r>
          </w:p>
        </w:tc>
        <w:tc>
          <w:tcPr>
            <w:tcW w:type="dxa" w:w="831"/>
          </w:tcPr>
          <w:p>
            <w:pPr>
              <w:pStyle w:val="null3"/>
              <w:jc w:val="right"/>
            </w:pPr>
            <w:r>
              <w:rPr>
                <w:rFonts w:ascii="仿宋_GB2312" w:hAnsi="仿宋_GB2312" w:cs="仿宋_GB2312" w:eastAsia="仿宋_GB2312"/>
              </w:rPr>
              <w:t>15.00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必须如实对招标文件第五章招标内容及要求中“二、技术和服务要求”的各条款作出明确的响应，在《技术和服务要求响应表》中列明是否偏离，并对其真实性负责。技术参数中带“★”标注评审指标（共3个指标项）为不允许负偏离的实质性要求，负偏离一项，按无效标处理。技术要求中带“▲”的条款（合计6个指标项），每负偏离一项扣2.5分。注：招标文件技术要求中若有要求投标提供相关检测报告或其他佐证材料的，投标人在投标文件中必须提供，否则视为负偏离。</w:t>
            </w:r>
          </w:p>
        </w:tc>
      </w:tr>
      <w:tr>
        <w:tc>
          <w:tcPr>
            <w:tcW w:type="dxa" w:w="3322"/>
          </w:tcPr>
          <w:p>
            <w:pPr>
              <w:pStyle w:val="null3"/>
              <w:jc w:val="both"/>
            </w:pPr>
            <w:r>
              <w:rPr>
                <w:rFonts w:ascii="仿宋_GB2312" w:hAnsi="仿宋_GB2312" w:cs="仿宋_GB2312" w:eastAsia="仿宋_GB2312"/>
              </w:rPr>
              <w:t>2、技术和服务要求响应情况2</w:t>
            </w:r>
          </w:p>
        </w:tc>
        <w:tc>
          <w:tcPr>
            <w:tcW w:type="dxa" w:w="831"/>
          </w:tcPr>
          <w:p>
            <w:pPr>
              <w:pStyle w:val="null3"/>
              <w:jc w:val="right"/>
            </w:pPr>
            <w:r>
              <w:rPr>
                <w:rFonts w:ascii="仿宋_GB2312" w:hAnsi="仿宋_GB2312" w:cs="仿宋_GB2312" w:eastAsia="仿宋_GB2312"/>
              </w:rPr>
              <w:t>38.00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必须如实对招标文件第五章招标内容及要求中“二、技术和服务要求”的各条款作出明确的响应，在《技术和服务要求响应表》中列明是否偏离，并对其真实性负责。其他参数（合计40个指标项）每负偏离一项扣0.95分。正偏离不加分。 注：招标文件技术要求中若有要求投标提供相关检测报告或其他佐证材料的，投标人在投标文件中必须提供，否则视为负偏离。</w:t>
            </w:r>
          </w:p>
        </w:tc>
      </w:tr>
    </w:tbl>
    <w:p>
      <w:pPr>
        <w:pStyle w:val="null3"/>
        <w:jc w:val="both"/>
      </w:pPr>
      <w:r>
        <w:rPr>
          <w:rFonts w:ascii="仿宋_GB2312" w:hAnsi="仿宋_GB2312" w:cs="仿宋_GB2312" w:eastAsia="仿宋_GB2312"/>
        </w:rPr>
        <w:t>商务项（F3×A3）满分为7.0000分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评标委员会根据各投标人所提供的自2022年1月1日以来（日期以验收证明为准）由投标人在国内所完成的与本次投标同类设备的业绩情况进行打分，每提供1份得1分，满分3分。投标人须同时提供该项目的中标/成交公告（提供相关网站中标/成交公告的下载网页并注明网址）、中标/成交通知书、采购合同（或与业主单位签订正式合同协议书），以及能够证明该项目已经采购人验收合格的相关证明文件复印件。评标过程未提供相关证明文件复印件或填报不实的不得分；合同履行过程发现本项有虚假者，取消其资格，并追究相应的法律责任和进行相应的赔偿。</w:t>
            </w:r>
          </w:p>
        </w:tc>
      </w:tr>
      <w:tr>
        <w:tc>
          <w:tcPr>
            <w:tcW w:type="dxa" w:w="3322"/>
          </w:tcPr>
          <w:p>
            <w:pPr>
              <w:pStyle w:val="null3"/>
              <w:jc w:val="left"/>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提供的售后服务方案（包括但不限于：售后服务机制、人员配备、备件储备清单、响应计划的方式及时间）由评标委员会进行评分：方案包含的要点齐全无缺漏项、内容与要点相符、各要点均有展开详细阐述、方案内容详细完整、针对性和可操作性强、切合项目实际情况的得2分；方案包含的要点齐全无缺漏项、阐述合理、针对性较强、可实施性较高、内容与要点相符且均有展开阐述、虽然没有特别具体但总体符合项目实际情况的得1.25分；方案包含的要点齐全无缺漏项、仅有纲要、内容简略但内容与要点相符、具有一定可实施性和针对性、虽未展开详细阐述但能够适用于本项目的得0.5分；未提供方案或不适用于本项目的不得分。</w:t>
            </w:r>
          </w:p>
        </w:tc>
      </w:tr>
      <w:tr>
        <w:tc>
          <w:tcPr>
            <w:tcW w:type="dxa" w:w="3322"/>
          </w:tcPr>
          <w:p>
            <w:pPr>
              <w:pStyle w:val="null3"/>
              <w:jc w:val="left"/>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提供的针对本项目制定的现场技术培训方案情况进行评分（现场技术培训方案应包含：①培训计划；②培训范围；③实施及针对性措施；④保证培训成效的措施）由评标委员会进行评分：方案包含的要点齐全无缺漏项、内容与要点相符、各要点均有展开详细阐述、方案内容详细完整、针对性和可操作性强、切合项目实际情况的得2分；方案包含的要点齐全无缺漏项、阐述合理、针对性较强、可实施性较高、内容与要点相符且均有展开阐述、虽然没有特别具体但总体符合项目实际情况的得1.25分；方案包含的要点齐全无缺漏项、仅有纲要、内容简略但内容与要点相符、具有一定可实施性和针对性、虽未展开详细阐述但能够适用于本项目的得0.5分；未提供方案或不适用于本项目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福建省福州结核病防治院移动床边DR拍片机采购项目”，投标人为本次项目提供的产品必须通过合法渠道获得，具有在中国境内的合法使用权和用户保护权，所有货物必须为全新原装货物。保证所提供的货物是全新的、未使用过的原装设备，在各个方面符合规定的质量、规格和性能要求。保证货物经过正确安装、合理操作和维护保养，在货物寿命期内运转良好。</w:t>
      </w:r>
    </w:p>
    <w:p>
      <w:pPr>
        <w:pStyle w:val="null3"/>
        <w:ind w:firstLine="480"/>
        <w:jc w:val="both"/>
      </w:pPr>
      <w:r>
        <w:rPr>
          <w:rFonts w:ascii="仿宋_GB2312" w:hAnsi="仿宋_GB2312" w:cs="仿宋_GB2312" w:eastAsia="仿宋_GB2312"/>
          <w:sz w:val="24"/>
        </w:rPr>
        <w:t>2、本项目报价：包括但不限于设备费、运输费、安装费、管理费、税费、</w:t>
      </w:r>
      <w:r>
        <w:rPr>
          <w:rFonts w:ascii="仿宋_GB2312" w:hAnsi="仿宋_GB2312" w:cs="仿宋_GB2312" w:eastAsia="仿宋_GB2312"/>
          <w:sz w:val="24"/>
        </w:rPr>
        <w:t>保险费、调试费、人工费、</w:t>
      </w:r>
      <w:r>
        <w:rPr>
          <w:rFonts w:ascii="仿宋_GB2312" w:hAnsi="仿宋_GB2312" w:cs="仿宋_GB2312" w:eastAsia="仿宋_GB2312"/>
          <w:sz w:val="24"/>
        </w:rPr>
        <w:t>售后服务费、维保期后</w:t>
      </w:r>
      <w:r>
        <w:rPr>
          <w:rFonts w:ascii="仿宋_GB2312" w:hAnsi="仿宋_GB2312" w:cs="仿宋_GB2312" w:eastAsia="仿宋_GB2312"/>
          <w:sz w:val="24"/>
          <w:color w:val="000000"/>
        </w:rPr>
        <w:t>维修服务</w:t>
      </w:r>
      <w:r>
        <w:rPr>
          <w:rFonts w:ascii="仿宋_GB2312" w:hAnsi="仿宋_GB2312" w:cs="仿宋_GB2312" w:eastAsia="仿宋_GB2312"/>
          <w:sz w:val="24"/>
        </w:rPr>
        <w:t>、</w:t>
      </w:r>
      <w:r>
        <w:rPr>
          <w:rFonts w:ascii="仿宋_GB2312" w:hAnsi="仿宋_GB2312" w:cs="仿宋_GB2312" w:eastAsia="仿宋_GB2312"/>
          <w:sz w:val="24"/>
        </w:rPr>
        <w:t>培训等伴随服务。还要考虑到合同中可能出现的索赔和变更。</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1、X射线高压发生器</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高压产生方式：高频逆变式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最小输出</w:t>
      </w:r>
      <w:r>
        <w:rPr>
          <w:rFonts w:ascii="仿宋_GB2312" w:hAnsi="仿宋_GB2312" w:cs="仿宋_GB2312" w:eastAsia="仿宋_GB2312"/>
          <w:sz w:val="24"/>
        </w:rPr>
        <w:t>kVp≤40kV；</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最大输出</w:t>
      </w:r>
      <w:r>
        <w:rPr>
          <w:rFonts w:ascii="仿宋_GB2312" w:hAnsi="仿宋_GB2312" w:cs="仿宋_GB2312" w:eastAsia="仿宋_GB2312"/>
          <w:sz w:val="24"/>
        </w:rPr>
        <w:t>kVp≥150kV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最大逆变频率</w:t>
      </w:r>
      <w:r>
        <w:rPr>
          <w:rFonts w:ascii="仿宋_GB2312" w:hAnsi="仿宋_GB2312" w:cs="仿宋_GB2312" w:eastAsia="仿宋_GB2312"/>
          <w:sz w:val="24"/>
        </w:rPr>
        <w:t>≥400kHz；</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最大输出</w:t>
      </w:r>
      <w:r>
        <w:rPr>
          <w:rFonts w:ascii="仿宋_GB2312" w:hAnsi="仿宋_GB2312" w:cs="仿宋_GB2312" w:eastAsia="仿宋_GB2312"/>
          <w:sz w:val="24"/>
        </w:rPr>
        <w:t>mAs≥500mAs；</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最小输出</w:t>
      </w:r>
      <w:r>
        <w:rPr>
          <w:rFonts w:ascii="仿宋_GB2312" w:hAnsi="仿宋_GB2312" w:cs="仿宋_GB2312" w:eastAsia="仿宋_GB2312"/>
          <w:sz w:val="24"/>
        </w:rPr>
        <w:t>mAs≤0.5mAs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▲1.7最大功率≥40kW；</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最短曝光时间</w:t>
      </w:r>
      <w:r>
        <w:rPr>
          <w:rFonts w:ascii="仿宋_GB2312" w:hAnsi="仿宋_GB2312" w:cs="仿宋_GB2312" w:eastAsia="仿宋_GB2312"/>
          <w:sz w:val="24"/>
        </w:rPr>
        <w:t>≤1ms；</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最大管电流</w:t>
      </w:r>
      <w:r>
        <w:rPr>
          <w:rFonts w:ascii="仿宋_GB2312" w:hAnsi="仿宋_GB2312" w:cs="仿宋_GB2312" w:eastAsia="仿宋_GB2312"/>
          <w:sz w:val="24"/>
        </w:rPr>
        <w:t>≥500mA。</w:t>
      </w:r>
    </w:p>
    <w:p>
      <w:pPr>
        <w:pStyle w:val="null3"/>
        <w:jc w:val="both"/>
      </w:pPr>
      <w:r>
        <w:rPr>
          <w:rFonts w:ascii="仿宋_GB2312" w:hAnsi="仿宋_GB2312" w:cs="仿宋_GB2312" w:eastAsia="仿宋_GB2312"/>
          <w:sz w:val="24"/>
        </w:rPr>
        <w:t>2、X射线球管及束光器</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旋转阳极球管；</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X线投照范围（100cm SID时）≥43cm x 43cm；</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标准小焦点尺寸</w:t>
      </w:r>
      <w:r>
        <w:rPr>
          <w:rFonts w:ascii="仿宋_GB2312" w:hAnsi="仿宋_GB2312" w:cs="仿宋_GB2312" w:eastAsia="仿宋_GB2312"/>
          <w:sz w:val="24"/>
        </w:rPr>
        <w:t>≤0.6mm；</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kV标准大焦点尺寸≤1.2mm；</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球管最小标准电压</w:t>
      </w:r>
      <w:r>
        <w:rPr>
          <w:rFonts w:ascii="仿宋_GB2312" w:hAnsi="仿宋_GB2312" w:cs="仿宋_GB2312" w:eastAsia="仿宋_GB2312"/>
          <w:sz w:val="24"/>
        </w:rPr>
        <w:t>≤40kV；</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球管最大标准电压</w:t>
      </w:r>
      <w:r>
        <w:rPr>
          <w:rFonts w:ascii="仿宋_GB2312" w:hAnsi="仿宋_GB2312" w:cs="仿宋_GB2312" w:eastAsia="仿宋_GB2312"/>
          <w:sz w:val="24"/>
        </w:rPr>
        <w:t>≥150kV；</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小焦点最大球管电流</w:t>
      </w:r>
      <w:r>
        <w:rPr>
          <w:rFonts w:ascii="仿宋_GB2312" w:hAnsi="仿宋_GB2312" w:cs="仿宋_GB2312" w:eastAsia="仿宋_GB2312"/>
          <w:sz w:val="24"/>
        </w:rPr>
        <w:t>≥300mA；</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大焦点最大球管电流</w:t>
      </w:r>
      <w:r>
        <w:rPr>
          <w:rFonts w:ascii="仿宋_GB2312" w:hAnsi="仿宋_GB2312" w:cs="仿宋_GB2312" w:eastAsia="仿宋_GB2312"/>
          <w:sz w:val="24"/>
        </w:rPr>
        <w:t>≥650mA；</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▲2.9阳极热容量≥300kHu；</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2.10束光器绕其中心轴旋转范围±90°；</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2.11束光器内置投照野指示灯；</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 xml:space="preserve">2.12束光器双侧球管定位把手双侧；            </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2.13可支持远程遥控曝光；</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2.14遥控曝光距离≥10m。</w:t>
      </w:r>
    </w:p>
    <w:p>
      <w:pPr>
        <w:pStyle w:val="null3"/>
        <w:jc w:val="both"/>
      </w:pPr>
      <w:r>
        <w:rPr>
          <w:rFonts w:ascii="仿宋_GB2312" w:hAnsi="仿宋_GB2312" w:cs="仿宋_GB2312" w:eastAsia="仿宋_GB2312"/>
          <w:sz w:val="24"/>
        </w:rPr>
        <w:t>3、球管定位系统</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▲3.1类型：可伸缩立柱结构，立柱高度可调节；</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3.2球管旋转角度≥±180°；</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3.3球管倾斜角度≥120°；</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3.4球管立柱旋转范围≥±300°；</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3.5焦点高度可调节，焦点至地面的最大距离≥190cm；</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3.6焦点高度可调节，焦点至地面的最小距离≤62.5cm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★3.7立柱高度可调节，立柱最低点高度≤129.5cm。</w:t>
      </w:r>
    </w:p>
    <w:p>
      <w:pPr>
        <w:pStyle w:val="null3"/>
        <w:jc w:val="both"/>
      </w:pPr>
      <w:r>
        <w:rPr>
          <w:rFonts w:ascii="仿宋_GB2312" w:hAnsi="仿宋_GB2312" w:cs="仿宋_GB2312" w:eastAsia="仿宋_GB2312"/>
          <w:sz w:val="24"/>
        </w:rPr>
        <w:t>4、无线平板探测器</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★4.1规格≥42cm x 42cm，像素≤100微米</w:t>
      </w:r>
      <w:r>
        <w:rPr>
          <w:rFonts w:ascii="仿宋_GB2312" w:hAnsi="仿宋_GB2312" w:cs="仿宋_GB2312" w:eastAsia="仿宋_GB2312"/>
          <w:sz w:val="24"/>
        </w:rPr>
        <w:t>（提供技术白皮书或彩页佐证材料）；</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4.2有效矩阵≥4200 x 4200像素；</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33</w:t>
      </w:r>
      <w:r>
        <w:rPr>
          <w:rFonts w:ascii="仿宋_GB2312" w:hAnsi="仿宋_GB2312" w:cs="仿宋_GB2312" w:eastAsia="仿宋_GB2312"/>
          <w:sz w:val="24"/>
        </w:rPr>
        <w:t>）</w:t>
      </w:r>
      <w:r>
        <w:rPr>
          <w:rFonts w:ascii="仿宋_GB2312" w:hAnsi="仿宋_GB2312" w:cs="仿宋_GB2312" w:eastAsia="仿宋_GB2312"/>
          <w:sz w:val="24"/>
        </w:rPr>
        <w:t xml:space="preserve">4.3结构：整版非拼接；   </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 xml:space="preserve">4.4材质：非晶硅碘化铯；  </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▲4.5量子检出效率≥72% @ 0lp/mm；</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36</w:t>
      </w:r>
      <w:r>
        <w:rPr>
          <w:rFonts w:ascii="仿宋_GB2312" w:hAnsi="仿宋_GB2312" w:cs="仿宋_GB2312" w:eastAsia="仿宋_GB2312"/>
          <w:sz w:val="24"/>
        </w:rPr>
        <w:t>）</w:t>
      </w:r>
      <w:r>
        <w:rPr>
          <w:rFonts w:ascii="仿宋_GB2312" w:hAnsi="仿宋_GB2312" w:cs="仿宋_GB2312" w:eastAsia="仿宋_GB2312"/>
          <w:sz w:val="24"/>
        </w:rPr>
        <w:t>▲4.6平板承重≥300KG；</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 xml:space="preserve">4.8当探测器位于槽中，探测器电池可一体化充电，不需要更换平板电池；    </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38</w:t>
      </w:r>
      <w:r>
        <w:rPr>
          <w:rFonts w:ascii="仿宋_GB2312" w:hAnsi="仿宋_GB2312" w:cs="仿宋_GB2312" w:eastAsia="仿宋_GB2312"/>
          <w:sz w:val="24"/>
        </w:rPr>
        <w:t>）</w:t>
      </w:r>
      <w:r>
        <w:rPr>
          <w:rFonts w:ascii="仿宋_GB2312" w:hAnsi="仿宋_GB2312" w:cs="仿宋_GB2312" w:eastAsia="仿宋_GB2312"/>
          <w:sz w:val="24"/>
        </w:rPr>
        <w:t>4.9图像预览≤4s。</w:t>
      </w:r>
    </w:p>
    <w:p>
      <w:pPr>
        <w:pStyle w:val="null3"/>
        <w:jc w:val="both"/>
      </w:pPr>
      <w:r>
        <w:rPr>
          <w:rFonts w:ascii="仿宋_GB2312" w:hAnsi="仿宋_GB2312" w:cs="仿宋_GB2312" w:eastAsia="仿宋_GB2312"/>
          <w:sz w:val="24"/>
        </w:rPr>
        <w:t>5机械系统</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5.1系统可原地转向；</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5.2系统前端具有碰撞保护缓冲器，发生碰撞时可自动刹车；</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5.3系统电动前进速度≥5km/h；</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42</w:t>
      </w:r>
      <w:r>
        <w:rPr>
          <w:rFonts w:ascii="仿宋_GB2312" w:hAnsi="仿宋_GB2312" w:cs="仿宋_GB2312" w:eastAsia="仿宋_GB2312"/>
          <w:sz w:val="24"/>
        </w:rPr>
        <w:t>）</w:t>
      </w:r>
      <w:r>
        <w:rPr>
          <w:rFonts w:ascii="仿宋_GB2312" w:hAnsi="仿宋_GB2312" w:cs="仿宋_GB2312" w:eastAsia="仿宋_GB2312"/>
          <w:sz w:val="24"/>
        </w:rPr>
        <w:t>★5.4机身宽度≤55cm；</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5.5电动驱动爬坡能力≥12°；</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44）5.6整机重量≤450KG。</w:t>
      </w:r>
    </w:p>
    <w:p>
      <w:pPr>
        <w:pStyle w:val="null3"/>
        <w:jc w:val="both"/>
      </w:pPr>
      <w:r>
        <w:rPr>
          <w:rFonts w:ascii="仿宋_GB2312" w:hAnsi="仿宋_GB2312" w:cs="仿宋_GB2312" w:eastAsia="仿宋_GB2312"/>
          <w:sz w:val="24"/>
        </w:rPr>
        <w:t>6、蓄电池及充电系统</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45）6.1具有电量指示功能；</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46）6.2平均系统充满时间≤4h；</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47）▲6.3锂电池曝光次数≥1500次。</w:t>
      </w:r>
    </w:p>
    <w:p>
      <w:pPr>
        <w:pStyle w:val="null3"/>
        <w:jc w:val="both"/>
      </w:pPr>
      <w:r>
        <w:rPr>
          <w:rFonts w:ascii="仿宋_GB2312" w:hAnsi="仿宋_GB2312" w:cs="仿宋_GB2312" w:eastAsia="仿宋_GB2312"/>
          <w:sz w:val="24"/>
        </w:rPr>
        <w:t>7、图像处理系统</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48）7.1</w:t>
      </w:r>
      <w:r>
        <w:rPr>
          <w:rFonts w:ascii="仿宋_GB2312" w:hAnsi="仿宋_GB2312" w:cs="仿宋_GB2312" w:eastAsia="仿宋_GB2312"/>
          <w:sz w:val="24"/>
        </w:rPr>
        <w:t>原厂图像存储</w:t>
      </w:r>
      <w:r>
        <w:rPr>
          <w:rFonts w:ascii="仿宋_GB2312" w:hAnsi="仿宋_GB2312" w:cs="仿宋_GB2312" w:eastAsia="仿宋_GB2312"/>
          <w:sz w:val="24"/>
        </w:rPr>
        <w:t>≥3,000幅；</w:t>
      </w:r>
    </w:p>
    <w:p>
      <w:pPr>
        <w:pStyle w:val="null3"/>
        <w:jc w:val="both"/>
      </w:pPr>
      <w:r>
        <w:rPr>
          <w:rFonts w:ascii="仿宋_GB2312" w:hAnsi="仿宋_GB2312" w:cs="仿宋_GB2312" w:eastAsia="仿宋_GB2312"/>
          <w:sz w:val="24"/>
        </w:rPr>
        <w:t>（指标项：</w:t>
      </w:r>
      <w:r>
        <w:rPr>
          <w:rFonts w:ascii="仿宋_GB2312" w:hAnsi="仿宋_GB2312" w:cs="仿宋_GB2312" w:eastAsia="仿宋_GB2312"/>
          <w:sz w:val="24"/>
        </w:rPr>
        <w:t>49</w:t>
      </w:r>
      <w:r>
        <w:rPr>
          <w:rFonts w:ascii="仿宋_GB2312" w:hAnsi="仿宋_GB2312" w:cs="仿宋_GB2312" w:eastAsia="仿宋_GB2312"/>
          <w:sz w:val="24"/>
        </w:rPr>
        <w:t>）</w:t>
      </w:r>
      <w:r>
        <w:rPr>
          <w:rFonts w:ascii="仿宋_GB2312" w:hAnsi="仿宋_GB2312" w:cs="仿宋_GB2312" w:eastAsia="仿宋_GB2312"/>
          <w:sz w:val="24"/>
        </w:rPr>
        <w:t>7.2</w:t>
      </w:r>
      <w:r>
        <w:rPr>
          <w:rFonts w:ascii="仿宋_GB2312" w:hAnsi="仿宋_GB2312" w:cs="仿宋_GB2312" w:eastAsia="仿宋_GB2312"/>
          <w:sz w:val="24"/>
        </w:rPr>
        <w:t>显示器</w:t>
      </w:r>
      <w:r>
        <w:rPr>
          <w:rFonts w:ascii="仿宋_GB2312" w:hAnsi="仿宋_GB2312" w:cs="仿宋_GB2312" w:eastAsia="仿宋_GB2312"/>
          <w:sz w:val="24"/>
        </w:rPr>
        <w:t>≥19英寸触摸屏。</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自合同签订之日60日内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1、全部货物交货安装调试完毕并验收合格后，达到付款条件起30日内，支付合同总金额的90.00%</w:t>
            </w:r>
          </w:p>
          <w:p>
            <w:pPr>
              <w:pStyle w:val="null3"/>
              <w:jc w:val="both"/>
            </w:pPr>
            <w:r>
              <w:rPr>
                <w:rFonts w:ascii="仿宋_GB2312" w:hAnsi="仿宋_GB2312" w:cs="仿宋_GB2312" w:eastAsia="仿宋_GB2312"/>
              </w:rPr>
              <w:t>2、设备稳定运行一年后，达到付款条件起30日内，支付合同总金额的10.00%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8、安装与验收</w:t>
      </w:r>
    </w:p>
    <w:p>
      <w:pPr>
        <w:pStyle w:val="null3"/>
        <w:ind w:firstLine="480"/>
        <w:jc w:val="left"/>
      </w:pPr>
      <w:r>
        <w:rPr>
          <w:rFonts w:ascii="仿宋_GB2312" w:hAnsi="仿宋_GB2312" w:cs="仿宋_GB2312" w:eastAsia="仿宋_GB2312"/>
          <w:sz w:val="24"/>
          <w:color w:val="000000"/>
        </w:rPr>
        <w:t>8.1安装</w:t>
      </w:r>
    </w:p>
    <w:p>
      <w:pPr>
        <w:pStyle w:val="null3"/>
        <w:ind w:firstLine="480"/>
        <w:jc w:val="left"/>
      </w:pPr>
      <w:r>
        <w:rPr>
          <w:rFonts w:ascii="仿宋_GB2312" w:hAnsi="仿宋_GB2312" w:cs="仿宋_GB2312" w:eastAsia="仿宋_GB2312"/>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r>
        <w:rPr>
          <w:rFonts w:ascii="仿宋_GB2312" w:hAnsi="仿宋_GB2312" w:cs="仿宋_GB2312" w:eastAsia="仿宋_GB2312"/>
          <w:sz w:val="24"/>
        </w:rPr>
        <w:t>（</w:t>
      </w:r>
      <w:r>
        <w:rPr>
          <w:rFonts w:ascii="仿宋_GB2312" w:hAnsi="仿宋_GB2312" w:cs="仿宋_GB2312" w:eastAsia="仿宋_GB2312"/>
          <w:sz w:val="24"/>
        </w:rPr>
        <w:t>包装应足以承受整个过程中的运输、转运、装卸、储存等，充分考虑到运输途中的各种情况</w:t>
      </w:r>
      <w:r>
        <w:rPr>
          <w:rFonts w:ascii="仿宋_GB2312" w:hAnsi="仿宋_GB2312" w:cs="仿宋_GB2312" w:eastAsia="仿宋_GB2312"/>
          <w:sz w:val="24"/>
        </w:rPr>
        <w:t>(如暴露于恶劣气候等)和项目所在地的气候特点，以及露天存放的需要。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8.1.2货物的装卸、运输和堆放均应做到安全、规范，如有破损应及时修复或调换。</w:t>
      </w:r>
    </w:p>
    <w:p>
      <w:pPr>
        <w:pStyle w:val="null3"/>
        <w:ind w:firstLine="480"/>
        <w:jc w:val="left"/>
      </w:pPr>
      <w:r>
        <w:rPr>
          <w:rFonts w:ascii="仿宋_GB2312" w:hAnsi="仿宋_GB2312" w:cs="仿宋_GB2312" w:eastAsia="仿宋_GB2312"/>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仿宋_GB2312" w:hAnsi="仿宋_GB2312" w:cs="仿宋_GB2312" w:eastAsia="仿宋_GB2312"/>
          <w:sz w:val="24"/>
          <w:color w:val="000000"/>
        </w:rPr>
        <w:t>8.1.4在安装过程中，安装人员应严格按照国家有关的操作规程和规范，确保安装牢固，安全可靠。</w:t>
      </w:r>
    </w:p>
    <w:p>
      <w:pPr>
        <w:pStyle w:val="null3"/>
        <w:ind w:firstLine="480"/>
        <w:jc w:val="left"/>
      </w:pPr>
      <w:r>
        <w:rPr>
          <w:rFonts w:ascii="仿宋_GB2312" w:hAnsi="仿宋_GB2312" w:cs="仿宋_GB2312" w:eastAsia="仿宋_GB2312"/>
          <w:sz w:val="24"/>
          <w:color w:val="000000"/>
        </w:rPr>
        <w:t>8.1.5在安装过程中，安装人员应加强现场管理，保持整洁有序，不得妨碍干扰采购人正常工作秩序，不得破坏环境，否则由中标人承担全部责任。</w:t>
      </w:r>
    </w:p>
    <w:p>
      <w:pPr>
        <w:pStyle w:val="null3"/>
        <w:ind w:firstLine="480"/>
        <w:jc w:val="left"/>
      </w:pPr>
      <w:r>
        <w:rPr>
          <w:rFonts w:ascii="仿宋_GB2312" w:hAnsi="仿宋_GB2312" w:cs="仿宋_GB2312" w:eastAsia="仿宋_GB2312"/>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仿宋_GB2312" w:hAnsi="仿宋_GB2312" w:cs="仿宋_GB2312" w:eastAsia="仿宋_GB2312"/>
          <w:sz w:val="24"/>
          <w:color w:val="000000"/>
        </w:rPr>
        <w:t>8.1.7安装过程中，严格按照服务内容完成实施，要求保证医院各项业务系统的持续运行，医院业务数据不丢失，否则由中标任承担全部责任；</w:t>
      </w:r>
    </w:p>
    <w:p>
      <w:pPr>
        <w:pStyle w:val="null3"/>
        <w:ind w:firstLine="480"/>
        <w:jc w:val="left"/>
      </w:pPr>
      <w:r>
        <w:rPr>
          <w:rFonts w:ascii="仿宋_GB2312" w:hAnsi="仿宋_GB2312" w:cs="仿宋_GB2312" w:eastAsia="仿宋_GB2312"/>
          <w:sz w:val="24"/>
          <w:color w:val="000000"/>
        </w:rPr>
        <w:t>8.1.8合同签订后，中标人须将安装所需的水、电、气及其他要求书面通知采购人。</w:t>
      </w:r>
    </w:p>
    <w:p>
      <w:pPr>
        <w:pStyle w:val="null3"/>
        <w:ind w:firstLine="480"/>
        <w:jc w:val="left"/>
      </w:pPr>
      <w:r>
        <w:rPr>
          <w:rFonts w:ascii="仿宋_GB2312" w:hAnsi="仿宋_GB2312" w:cs="仿宋_GB2312" w:eastAsia="仿宋_GB2312"/>
          <w:sz w:val="24"/>
          <w:color w:val="000000"/>
        </w:rPr>
        <w:t>8.1.9中标人应组织专业技术人员进行货物安装调试，采购人提供安装所必须的基本条件，保证各项安装工作顺利进行。</w:t>
      </w:r>
    </w:p>
    <w:p>
      <w:pPr>
        <w:pStyle w:val="null3"/>
        <w:ind w:firstLine="480"/>
        <w:jc w:val="left"/>
      </w:pPr>
      <w:r>
        <w:rPr>
          <w:rFonts w:ascii="仿宋_GB2312" w:hAnsi="仿宋_GB2312" w:cs="仿宋_GB2312" w:eastAsia="仿宋_GB2312"/>
          <w:sz w:val="24"/>
          <w:color w:val="000000"/>
        </w:rPr>
        <w:t>8.1.10中标人应在合同签订时向采购人提供安装、调试及试运行的进度计划表。</w:t>
      </w:r>
    </w:p>
    <w:p>
      <w:pPr>
        <w:pStyle w:val="null3"/>
        <w:ind w:firstLine="480"/>
        <w:jc w:val="left"/>
      </w:pPr>
      <w:r>
        <w:rPr>
          <w:rFonts w:ascii="仿宋_GB2312" w:hAnsi="仿宋_GB2312" w:cs="仿宋_GB2312" w:eastAsia="仿宋_GB2312"/>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left"/>
      </w:pPr>
      <w:r>
        <w:rPr>
          <w:rFonts w:ascii="仿宋_GB2312" w:hAnsi="仿宋_GB2312" w:cs="仿宋_GB2312" w:eastAsia="仿宋_GB2312"/>
          <w:sz w:val="24"/>
          <w:color w:val="000000"/>
        </w:rPr>
        <w:t>8.2验收</w:t>
      </w:r>
    </w:p>
    <w:p>
      <w:pPr>
        <w:pStyle w:val="null3"/>
        <w:ind w:firstLine="480"/>
        <w:jc w:val="left"/>
      </w:pPr>
      <w:r>
        <w:rPr>
          <w:rFonts w:ascii="仿宋_GB2312" w:hAnsi="仿宋_GB2312" w:cs="仿宋_GB2312" w:eastAsia="仿宋_GB2312"/>
          <w:sz w:val="24"/>
          <w:color w:val="000000"/>
        </w:rPr>
        <w:t>8.2.1验收应按照本合同附件的所有文件的规定或约定进行，具体如下：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重新更换，并按合同条款的有关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装卸费等一切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到货验收：货物送至采购人安装现场后，中标人和采购人一同拆箱，对其全部货物、零件、配件的型号、规格、数量、外型、外观、包装并依据货物装箱单、出厂检验报告、合格证等进行清点检查，对用户许可 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维保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最终验收：设备安装、调试结束后中标人负责并会同采购人及有关专家按验收标准进行联合验收。需有采购人的设备安装验收报告单、且必须经采购人相关科室和设备使用科室人员在验收报告单上签字即为验收完成。维保期从采购人设备安装验收报告单签署时间算起。验收过程中，若发现货物质量有问题中标人应无条件更换，并无条件重新检测并调试直至验收合格交付使用。</w:t>
      </w:r>
    </w:p>
    <w:p>
      <w:pPr>
        <w:pStyle w:val="null3"/>
        <w:ind w:firstLine="480"/>
        <w:jc w:val="left"/>
      </w:pPr>
      <w:r>
        <w:rPr>
          <w:rFonts w:ascii="仿宋_GB2312" w:hAnsi="仿宋_GB2312" w:cs="仿宋_GB2312" w:eastAsia="仿宋_GB2312"/>
          <w:sz w:val="24"/>
          <w:color w:val="000000"/>
        </w:rPr>
        <w:t>8.2.2各投标人可视自身能力在投标文件中提供更优、更合理的维修服务承诺。</w:t>
      </w:r>
    </w:p>
    <w:p>
      <w:pPr>
        <w:pStyle w:val="null3"/>
        <w:ind w:firstLine="480"/>
        <w:jc w:val="left"/>
      </w:pPr>
      <w:r>
        <w:rPr>
          <w:rFonts w:ascii="仿宋_GB2312" w:hAnsi="仿宋_GB2312" w:cs="仿宋_GB2312" w:eastAsia="仿宋_GB2312"/>
          <w:sz w:val="24"/>
          <w:color w:val="000000"/>
        </w:rPr>
        <w:t>9、售后服务</w:t>
      </w:r>
    </w:p>
    <w:p>
      <w:pPr>
        <w:pStyle w:val="null3"/>
        <w:ind w:firstLine="480"/>
        <w:jc w:val="left"/>
      </w:pPr>
      <w:r>
        <w:rPr>
          <w:rFonts w:ascii="仿宋_GB2312" w:hAnsi="仿宋_GB2312" w:cs="仿宋_GB2312" w:eastAsia="仿宋_GB2312"/>
          <w:sz w:val="24"/>
          <w:color w:val="000000"/>
        </w:rPr>
        <w:t>9.1</w:t>
      </w:r>
      <w:r>
        <w:rPr>
          <w:rFonts w:ascii="仿宋_GB2312" w:hAnsi="仿宋_GB2312" w:cs="仿宋_GB2312" w:eastAsia="仿宋_GB2312"/>
          <w:sz w:val="24"/>
          <w:b/>
          <w:color w:val="000000"/>
        </w:rPr>
        <w:t>本产品维保期不少于三年</w:t>
      </w:r>
      <w:r>
        <w:rPr>
          <w:rFonts w:ascii="仿宋_GB2312" w:hAnsi="仿宋_GB2312" w:cs="仿宋_GB2312" w:eastAsia="仿宋_GB2312"/>
          <w:sz w:val="24"/>
          <w:color w:val="000000"/>
        </w:rPr>
        <w:t>。维保期内不收取任何费用；维保期外不收取任何维修费用、差旅费，仅收取配件费。</w:t>
      </w:r>
    </w:p>
    <w:p>
      <w:pPr>
        <w:pStyle w:val="null3"/>
        <w:ind w:firstLine="480"/>
        <w:jc w:val="left"/>
      </w:pPr>
      <w:r>
        <w:rPr>
          <w:rFonts w:ascii="仿宋_GB2312" w:hAnsi="仿宋_GB2312" w:cs="仿宋_GB2312" w:eastAsia="仿宋_GB2312"/>
          <w:sz w:val="24"/>
          <w:color w:val="000000"/>
        </w:rPr>
        <w:t>9.2中标人提供维保期内成套设备无条件保修服务，并为产品提供终生维修服务。</w:t>
      </w:r>
    </w:p>
    <w:p>
      <w:pPr>
        <w:pStyle w:val="null3"/>
        <w:ind w:firstLine="480"/>
        <w:jc w:val="left"/>
      </w:pPr>
      <w:r>
        <w:rPr>
          <w:rFonts w:ascii="仿宋_GB2312" w:hAnsi="仿宋_GB2312" w:cs="仿宋_GB2312" w:eastAsia="仿宋_GB2312"/>
          <w:sz w:val="24"/>
          <w:color w:val="000000"/>
        </w:rPr>
        <w:t>9.2.1中标人保证产品在国内有售后服务维修站，设有备品配件（包括线路板、日常使用耗材等）库，有固定的设备维修工程师。中标人应快捷地提供全程的售前、售后、服务工作。</w:t>
      </w:r>
    </w:p>
    <w:p>
      <w:pPr>
        <w:pStyle w:val="null3"/>
        <w:ind w:firstLine="480"/>
        <w:jc w:val="left"/>
      </w:pPr>
      <w:r>
        <w:rPr>
          <w:rFonts w:ascii="仿宋_GB2312" w:hAnsi="仿宋_GB2312" w:cs="仿宋_GB2312" w:eastAsia="仿宋_GB2312"/>
          <w:sz w:val="24"/>
          <w:color w:val="000000"/>
        </w:rPr>
        <w:t>9.2.2维保期的期限应以采购人、中标人双方的安装、调试、培训并验收合格之日起计算，维保期内有关该设备的安装、调试、保养、维修、升级等活动所产生的一切费用由中标人承担(不论故障原因)。</w:t>
      </w:r>
    </w:p>
    <w:p>
      <w:pPr>
        <w:pStyle w:val="null3"/>
        <w:ind w:firstLine="480"/>
        <w:jc w:val="left"/>
      </w:pPr>
      <w:r>
        <w:rPr>
          <w:rFonts w:ascii="仿宋_GB2312" w:hAnsi="仿宋_GB2312" w:cs="仿宋_GB2312" w:eastAsia="仿宋_GB2312"/>
          <w:sz w:val="24"/>
          <w:color w:val="000000"/>
        </w:rPr>
        <w:t>9.2.3维保期内出现产品质量问题中标人应无条件保修。维保期内中标人可采取远程诊断，指导采购人现场工作人员进行免责简单维修。</w:t>
      </w:r>
    </w:p>
    <w:p>
      <w:pPr>
        <w:pStyle w:val="null3"/>
        <w:ind w:firstLine="480"/>
        <w:jc w:val="left"/>
      </w:pPr>
      <w:r>
        <w:rPr>
          <w:rFonts w:ascii="仿宋_GB2312" w:hAnsi="仿宋_GB2312" w:cs="仿宋_GB2312" w:eastAsia="仿宋_GB2312"/>
          <w:sz w:val="24"/>
          <w:color w:val="000000"/>
        </w:rPr>
        <w:t>9.2.4维保期内采购人报修的，中标人响应时间2小时内，到场时间6小时内（如遇不可抗拒力量顺延），如有需要零配件或耗材则所需物品到场时间为24内小时，否则采购人可以按延误时间双倍延长维保期。中标人维修完成后应及时填写维修报告（包括故障原因、处理情况及采购人意见等）报采购人备案。</w:t>
      </w:r>
    </w:p>
    <w:p>
      <w:pPr>
        <w:pStyle w:val="null3"/>
        <w:ind w:firstLine="480"/>
        <w:jc w:val="left"/>
      </w:pPr>
      <w:r>
        <w:rPr>
          <w:rFonts w:ascii="仿宋_GB2312" w:hAnsi="仿宋_GB2312" w:cs="仿宋_GB2312" w:eastAsia="仿宋_GB2312"/>
          <w:sz w:val="24"/>
          <w:color w:val="000000"/>
        </w:rPr>
        <w:t>9.2.5若中标人在48小时内无法排除产品故障，则应先提供同档次备用机供采购人使用。其中发生一切费用由中标人承担。维保期内如同一故障发生三次，或在2月内无法修复，中标人应无条件立即更换新机。如维保期内因故障停机，按停机时间的双倍顺延维保期。</w:t>
      </w:r>
    </w:p>
    <w:p>
      <w:pPr>
        <w:pStyle w:val="null3"/>
        <w:ind w:firstLine="480"/>
        <w:jc w:val="left"/>
      </w:pPr>
      <w:r>
        <w:rPr>
          <w:rFonts w:ascii="仿宋_GB2312" w:hAnsi="仿宋_GB2312" w:cs="仿宋_GB2312" w:eastAsia="仿宋_GB2312"/>
          <w:sz w:val="24"/>
          <w:color w:val="000000"/>
        </w:rPr>
        <w:t>9.2.6维保期内中标人应提供详细的年度定期预防性维护保养计划。</w:t>
      </w:r>
    </w:p>
    <w:p>
      <w:pPr>
        <w:pStyle w:val="null3"/>
        <w:ind w:firstLine="480"/>
        <w:jc w:val="left"/>
      </w:pPr>
      <w:r>
        <w:rPr>
          <w:rFonts w:ascii="仿宋_GB2312" w:hAnsi="仿宋_GB2312" w:cs="仿宋_GB2312" w:eastAsia="仿宋_GB2312"/>
          <w:sz w:val="24"/>
          <w:color w:val="000000"/>
        </w:rPr>
        <w:t>9.2.7中标人负责提供优质的设备终身维修服务，储备足够零配件、易耗品（包括耗材）及线路板的备件库，维保期满后，仍应以优惠价供应维修零配件及易耗品（包括耗材）等。维保期满前1个月内中标人应负责对设备进行一次全面检查，如发现潜在问题，应负责排除，保证设备正常运行。</w:t>
      </w:r>
    </w:p>
    <w:p>
      <w:pPr>
        <w:pStyle w:val="null3"/>
        <w:ind w:firstLine="480"/>
        <w:jc w:val="left"/>
      </w:pPr>
      <w:r>
        <w:rPr>
          <w:rFonts w:ascii="仿宋_GB2312" w:hAnsi="仿宋_GB2312" w:cs="仿宋_GB2312" w:eastAsia="仿宋_GB2312"/>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仿宋_GB2312" w:hAnsi="仿宋_GB2312" w:cs="仿宋_GB2312" w:eastAsia="仿宋_GB2312"/>
          <w:sz w:val="24"/>
          <w:color w:val="000000"/>
        </w:rPr>
        <w:t>9.4维保期即将到期前，中标人需对设备做全面巡检保养，保证设备的正常工作状态，并完成巡检报告交院方存档。</w:t>
      </w:r>
    </w:p>
    <w:p>
      <w:pPr>
        <w:pStyle w:val="null3"/>
        <w:ind w:firstLine="480"/>
        <w:jc w:val="left"/>
      </w:pPr>
      <w:r>
        <w:rPr>
          <w:rFonts w:ascii="仿宋_GB2312" w:hAnsi="仿宋_GB2312" w:cs="仿宋_GB2312" w:eastAsia="仿宋_GB2312"/>
          <w:sz w:val="24"/>
          <w:color w:val="000000"/>
        </w:rPr>
        <w:t>9.5维保期满后，中标人负责仪器的终身维修并应继续提供优惠、优质的服务，报修响应时间2小时内，到场时间8小时内。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提供终身的软件升级。</w:t>
      </w:r>
    </w:p>
    <w:p>
      <w:pPr>
        <w:pStyle w:val="null3"/>
        <w:ind w:firstLine="480"/>
        <w:jc w:val="left"/>
      </w:pPr>
      <w:r>
        <w:rPr>
          <w:rFonts w:ascii="仿宋_GB2312" w:hAnsi="仿宋_GB2312" w:cs="仿宋_GB2312" w:eastAsia="仿宋_GB2312"/>
          <w:sz w:val="24"/>
          <w:color w:val="000000"/>
        </w:rPr>
        <w:t>9.6中标人及时提供设备的软件升级版本。中标人及时提供设备使用和维护技术方面的信息。中标人向采购人提供以下有关设备的软、硬件技术资料（若有）：(1)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left"/>
      </w:pPr>
      <w:r>
        <w:rPr>
          <w:rFonts w:ascii="仿宋_GB2312" w:hAnsi="仿宋_GB2312" w:cs="仿宋_GB2312" w:eastAsia="仿宋_GB2312"/>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仿宋_GB2312" w:hAnsi="仿宋_GB2312" w:cs="仿宋_GB2312" w:eastAsia="仿宋_GB2312"/>
          <w:sz w:val="24"/>
          <w:color w:val="000000"/>
        </w:rPr>
        <w:t>9.8中标人的所有售后服务行为都不得将设备上的采购人客户信息资料泄漏，否则一切法律和经济后果由中标人承担。</w:t>
      </w:r>
    </w:p>
    <w:p>
      <w:pPr>
        <w:pStyle w:val="null3"/>
        <w:ind w:firstLine="480"/>
        <w:jc w:val="left"/>
      </w:pPr>
      <w:r>
        <w:rPr>
          <w:rFonts w:ascii="仿宋_GB2312" w:hAnsi="仿宋_GB2312" w:cs="仿宋_GB2312" w:eastAsia="仿宋_GB2312"/>
          <w:sz w:val="24"/>
          <w:color w:val="000000"/>
        </w:rPr>
        <w:t>10、违约责任</w:t>
      </w:r>
    </w:p>
    <w:p>
      <w:pPr>
        <w:pStyle w:val="null3"/>
        <w:ind w:firstLine="480"/>
        <w:jc w:val="left"/>
      </w:pPr>
      <w:r>
        <w:rPr>
          <w:rFonts w:ascii="仿宋_GB2312" w:hAnsi="仿宋_GB2312" w:cs="仿宋_GB2312" w:eastAsia="仿宋_GB2312"/>
          <w:sz w:val="24"/>
          <w:color w:val="000000"/>
        </w:rPr>
        <w:t>10.1本项目不允许中标人以任何名义和理由在中标后将中标项目的主体、非主体、关键性工作、非关键性工作进行转包、分包，在履行合同过程中如有发现，中标人有权单方终止合同，视为中标人违约，中标人违约对中标人造成的损失的，需另行按照本合同总价30%的比例向中标人支付赔偿金，并追究相关法律责任。</w:t>
      </w:r>
    </w:p>
    <w:p>
      <w:pPr>
        <w:pStyle w:val="null3"/>
        <w:ind w:firstLine="480"/>
        <w:jc w:val="left"/>
      </w:pPr>
      <w:r>
        <w:rPr>
          <w:rFonts w:ascii="仿宋_GB2312" w:hAnsi="仿宋_GB2312" w:cs="仿宋_GB2312" w:eastAsia="仿宋_GB2312"/>
          <w:sz w:val="24"/>
          <w:color w:val="000000"/>
        </w:rPr>
        <w:t>10.2因中标人原因造成采购合同无法按时签订，视为中标人违约，中标人违约对中标人造成的损失的，中标人需另行按照本合同总价30%的比例向中标人支付赔偿金。</w:t>
      </w:r>
    </w:p>
    <w:p>
      <w:pPr>
        <w:pStyle w:val="null3"/>
        <w:ind w:firstLine="480"/>
        <w:jc w:val="left"/>
      </w:pPr>
      <w:r>
        <w:rPr>
          <w:rFonts w:ascii="仿宋_GB2312" w:hAnsi="仿宋_GB2312" w:cs="仿宋_GB2312" w:eastAsia="仿宋_GB2312"/>
          <w:sz w:val="24"/>
          <w:color w:val="000000"/>
        </w:rPr>
        <w:t>10.3在签定采购合同之后，中标人要求解除合同的，视为中标人违约，对中标人造成的损失的，中标人需另行按照本合同总价30%的比例向中标人支付赔偿金。</w:t>
      </w:r>
    </w:p>
    <w:p>
      <w:pPr>
        <w:pStyle w:val="null3"/>
        <w:ind w:firstLine="480"/>
        <w:jc w:val="left"/>
      </w:pPr>
      <w:r>
        <w:rPr>
          <w:rFonts w:ascii="仿宋_GB2312" w:hAnsi="仿宋_GB2312" w:cs="仿宋_GB2312" w:eastAsia="仿宋_GB2312"/>
          <w:sz w:val="24"/>
          <w:color w:val="000000"/>
        </w:rPr>
        <w:t>10.4中标人逾期提供服务的(不可抗力除外)，每逾期一天，偿付500元违约金;若中标人逾期达30天(含)以上的，中标人有权单方面解除合同并要求中标人支付中标总金额30%的违约金。中标人仍应按上述约定支付延期交货违约金。若因此给中标人造成损失的，还应赔偿中标人所受的损失。</w:t>
      </w:r>
    </w:p>
    <w:p>
      <w:pPr>
        <w:pStyle w:val="null3"/>
        <w:ind w:firstLine="480"/>
        <w:jc w:val="left"/>
      </w:pPr>
      <w:r>
        <w:rPr>
          <w:rFonts w:ascii="仿宋_GB2312" w:hAnsi="仿宋_GB2312" w:cs="仿宋_GB2312" w:eastAsia="仿宋_GB2312"/>
          <w:sz w:val="24"/>
          <w:color w:val="000000"/>
        </w:rPr>
        <w:t>10.5中标人提供的服务未达到合同约定的标准，应在中标人规定的时间内予以整改，每逾期一天，中标人应向中标人支付500元违约金，若因此给中标人造成损失的，中标人还应赔偿中标人所受的损失。未在规定时间内整改完成的，中标人有权单方面解除合同并要求中标人支付中标总金额30%的违约金，中标人仍应按上述约定支付逾期违约金。</w:t>
      </w:r>
    </w:p>
    <w:p>
      <w:pPr>
        <w:pStyle w:val="null3"/>
        <w:ind w:firstLine="480"/>
        <w:jc w:val="left"/>
      </w:pPr>
      <w:r>
        <w:rPr>
          <w:rFonts w:ascii="仿宋_GB2312" w:hAnsi="仿宋_GB2312" w:cs="仿宋_GB2312" w:eastAsia="仿宋_GB2312"/>
          <w:sz w:val="24"/>
          <w:color w:val="000000"/>
        </w:rPr>
        <w:t>10.6中标人有权在未付尾款中直接扣减中标人应付违约金。尾款不足以支付违约金的，中标人有权提出追索和索赔。</w:t>
      </w:r>
    </w:p>
    <w:p>
      <w:pPr>
        <w:pStyle w:val="null3"/>
        <w:ind w:firstLine="480"/>
        <w:jc w:val="left"/>
      </w:pPr>
      <w:r>
        <w:rPr>
          <w:rFonts w:ascii="仿宋_GB2312" w:hAnsi="仿宋_GB2312" w:cs="仿宋_GB2312" w:eastAsia="仿宋_GB2312"/>
          <w:sz w:val="24"/>
          <w:color w:val="000000"/>
        </w:rPr>
        <w:t>10.7因中标人原因发生任何事故，所造成的所有人员伤亡、财产损失和责任均由中标人承担，与中标人无关。中标人除依约承担赔偿责任外，还将按有关质量管理办法规定执行。同时，中标人有权保留更换中标人的权利，并报相关行政主管部门处罚。</w:t>
      </w:r>
    </w:p>
    <w:p>
      <w:pPr>
        <w:pStyle w:val="null3"/>
        <w:ind w:firstLine="480"/>
        <w:jc w:val="left"/>
      </w:pPr>
      <w:r>
        <w:rPr>
          <w:rFonts w:ascii="仿宋_GB2312" w:hAnsi="仿宋_GB2312" w:cs="仿宋_GB2312" w:eastAsia="仿宋_GB2312"/>
          <w:sz w:val="24"/>
          <w:color w:val="000000"/>
        </w:rPr>
        <w:t>10.8因中标人原因发生重大质量事故，除依约承担赔偿责任外，还将按有关质量管理办法规定执行。同时，中标人有权保留更换中标人的权利，并报相关行政主管部门处罚。</w:t>
      </w:r>
    </w:p>
    <w:p>
      <w:pPr>
        <w:pStyle w:val="null3"/>
        <w:ind w:firstLine="480"/>
        <w:jc w:val="left"/>
      </w:pPr>
      <w:r>
        <w:rPr>
          <w:rFonts w:ascii="仿宋_GB2312" w:hAnsi="仿宋_GB2312" w:cs="仿宋_GB2312" w:eastAsia="仿宋_GB2312"/>
          <w:sz w:val="24"/>
          <w:color w:val="000000"/>
        </w:rPr>
        <w:t>10.9若发生死亡安全事故，除按国家有关安全管理规定及中标人有关安全管理办法执行外，并报相关行政主管部门处罚；发生重大安全事故或特大安全事故，除按国家有关安全管理规定及中标人有关安全管理办法执行外，中标人有权终止合同，给中标人造成的损失，还应承担赔偿责任。</w:t>
      </w:r>
    </w:p>
    <w:p>
      <w:pPr>
        <w:pStyle w:val="null3"/>
        <w:ind w:firstLine="480"/>
        <w:jc w:val="left"/>
      </w:pPr>
      <w:r>
        <w:rPr>
          <w:rFonts w:ascii="仿宋_GB2312" w:hAnsi="仿宋_GB2312" w:cs="仿宋_GB2312" w:eastAsia="仿宋_GB2312"/>
          <w:sz w:val="24"/>
          <w:color w:val="000000"/>
        </w:rPr>
        <w:t>10.10任何一方因对方违约，向违约方主张权利所支出的律师费、诉讼费/仲裁费、保全费、差旅费等费用均有权要求违约方承担。</w:t>
      </w:r>
    </w:p>
    <w:p>
      <w:pPr>
        <w:pStyle w:val="null3"/>
        <w:ind w:firstLine="480"/>
        <w:jc w:val="left"/>
      </w:pPr>
      <w:r>
        <w:rPr>
          <w:rFonts w:ascii="仿宋_GB2312" w:hAnsi="仿宋_GB2312" w:cs="仿宋_GB2312" w:eastAsia="仿宋_GB2312"/>
          <w:sz w:val="24"/>
          <w:color w:val="000000"/>
        </w:rPr>
        <w:t>11、知识产权</w:t>
      </w:r>
    </w:p>
    <w:p>
      <w:pPr>
        <w:pStyle w:val="null3"/>
        <w:ind w:firstLine="480"/>
        <w:jc w:val="left"/>
      </w:pPr>
      <w:r>
        <w:rPr>
          <w:rFonts w:ascii="仿宋_GB2312" w:hAnsi="仿宋_GB2312" w:cs="仿宋_GB2312" w:eastAsia="仿宋_GB2312"/>
          <w:sz w:val="24"/>
          <w:color w:val="000000"/>
        </w:rPr>
        <w:t>11.1中标人提供的采购标的应符合国家知识产权法律、法规的规定且非假冒伪劣品；中标人还应保证中标人不受到第三方关于侵犯知识产权及专利权、商标权或工业设计权等知识产权方面的指控。若任何第三方提出此方面指控均与中标人无关，中标人应与第三方交涉，并承担可能发生的一切法律责任、费用和后果；若中标人因此而遭致损失，则中标人应赔偿该损失。</w:t>
      </w:r>
    </w:p>
    <w:p>
      <w:pPr>
        <w:pStyle w:val="null3"/>
        <w:ind w:firstLine="480"/>
        <w:jc w:val="left"/>
      </w:pPr>
      <w:r>
        <w:rPr>
          <w:rFonts w:ascii="仿宋_GB2312" w:hAnsi="仿宋_GB2312" w:cs="仿宋_GB2312" w:eastAsia="仿宋_GB2312"/>
          <w:sz w:val="24"/>
          <w:color w:val="000000"/>
        </w:rPr>
        <w:t>中标人应保证其能合法获得生产厂家有效期内的高级故障诊断软件及维修密码，并保证不违反国家有关知识产权的法律规定。因中标人行为造成的知识产权纠纷，中标人应与第三方交涉，并承担可能发生的一切法律责任、费用和后果；若中标人因此而遭致损失，则中标人应赔偿该损失。</w:t>
      </w:r>
    </w:p>
    <w:p>
      <w:pPr>
        <w:pStyle w:val="null3"/>
        <w:ind w:firstLine="480"/>
        <w:jc w:val="left"/>
      </w:pPr>
      <w:r>
        <w:rPr>
          <w:rFonts w:ascii="仿宋_GB2312" w:hAnsi="仿宋_GB2312" w:cs="仿宋_GB2312" w:eastAsia="仿宋_GB2312"/>
          <w:sz w:val="24"/>
          <w:color w:val="000000"/>
        </w:rPr>
        <w:t>11.2若中标人提供的采购标的不符合国家知识产权法律、法规的规定或被有关主管机关认定为假冒伪劣品，则中标人中标资格将被取消；中标人还将按照有关法律、法规和规章的规定进行处理。</w:t>
      </w:r>
    </w:p>
    <w:p>
      <w:pPr>
        <w:pStyle w:val="null3"/>
        <w:ind w:firstLine="480"/>
        <w:jc w:val="left"/>
      </w:pPr>
      <w:r>
        <w:rPr>
          <w:rFonts w:ascii="仿宋_GB2312" w:hAnsi="仿宋_GB2312" w:cs="仿宋_GB2312" w:eastAsia="仿宋_GB2312"/>
          <w:sz w:val="24"/>
          <w:color w:val="000000"/>
        </w:rPr>
        <w:t>11.3若中标人违反本条11.1规定导致中标人被第三方起诉而遭受损失的，中标人可直接解除合同，并就自身损失向中标人完全追偿，追偿范围包括但不限于中标人因此支付的违约金、赔偿金、律师费、诉讼费、鉴定费、公告费、保全费、执行费、差旅费等一切费用和支出。同时中标人还可就中标人违反本合同知识产权担保义务之行为要求中标人退还中标人支付的全部合同款项并按照合同标的额的25%赔偿中标人违约金。</w:t>
      </w:r>
    </w:p>
    <w:p>
      <w:pPr>
        <w:pStyle w:val="null3"/>
        <w:ind w:firstLine="480"/>
        <w:jc w:val="left"/>
      </w:pPr>
      <w:r>
        <w:rPr>
          <w:rFonts w:ascii="仿宋_GB2312" w:hAnsi="仿宋_GB2312" w:cs="仿宋_GB2312" w:eastAsia="仿宋_GB2312"/>
          <w:sz w:val="24"/>
          <w:color w:val="000000"/>
        </w:rPr>
        <w:t>若中标人违反本条</w:t>
      </w:r>
      <w:r>
        <w:rPr>
          <w:rFonts w:ascii="仿宋_GB2312" w:hAnsi="仿宋_GB2312" w:cs="仿宋_GB2312" w:eastAsia="仿宋_GB2312"/>
          <w:sz w:val="24"/>
          <w:color w:val="000000"/>
        </w:rPr>
        <w:t>11.2规定导致中标人提供的采购标的被认定为假冒伪劣产品的，中标人有权解除本合同并要求中标人退还中标人支付的全部合同款项并按照合同标的额的25%赔偿中标人违约金，若造成中标人其他损失或额外支出的，中标人还可就损失或额外的支出向中标人完全追偿。</w:t>
      </w:r>
    </w:p>
    <w:p>
      <w:pPr>
        <w:pStyle w:val="null3"/>
        <w:ind w:firstLine="480"/>
        <w:jc w:val="left"/>
      </w:pPr>
      <w:r>
        <w:rPr>
          <w:rFonts w:ascii="仿宋_GB2312" w:hAnsi="仿宋_GB2312" w:cs="仿宋_GB2312" w:eastAsia="仿宋_GB2312"/>
          <w:sz w:val="24"/>
          <w:color w:val="000000"/>
        </w:rPr>
        <w:t>12、不可抗力</w:t>
      </w:r>
    </w:p>
    <w:p>
      <w:pPr>
        <w:pStyle w:val="null3"/>
        <w:ind w:firstLine="480"/>
        <w:jc w:val="left"/>
      </w:pPr>
      <w:r>
        <w:rPr>
          <w:rFonts w:ascii="仿宋_GB2312" w:hAnsi="仿宋_GB2312" w:cs="仿宋_GB2312" w:eastAsia="仿宋_GB2312"/>
          <w:sz w:val="24"/>
          <w:color w:val="000000"/>
        </w:rPr>
        <w:t>12.1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left"/>
      </w:pPr>
      <w:r>
        <w:rPr>
          <w:rFonts w:ascii="仿宋_GB2312" w:hAnsi="仿宋_GB2312" w:cs="仿宋_GB2312" w:eastAsia="仿宋_GB2312"/>
          <w:sz w:val="24"/>
          <w:color w:val="000000"/>
        </w:rPr>
        <w:t>12.2本合同中的不可抗力指不能预见、不能避免、不能克服的客观情况，包括但不限于：自然灾害如地震、台风、洪水、火灾及政府行为、法律规定或其适用的变化或其他任何无法预见、避免或控制的事件。</w:t>
      </w:r>
    </w:p>
    <w:p>
      <w:pPr>
        <w:pStyle w:val="null3"/>
        <w:ind w:firstLine="480"/>
        <w:jc w:val="left"/>
      </w:pPr>
      <w:r>
        <w:rPr>
          <w:rFonts w:ascii="仿宋_GB2312" w:hAnsi="仿宋_GB2312" w:cs="仿宋_GB2312" w:eastAsia="仿宋_GB2312"/>
          <w:sz w:val="24"/>
          <w:color w:val="000000"/>
        </w:rPr>
        <w:t>13、解决争议的方法</w:t>
      </w:r>
    </w:p>
    <w:p>
      <w:pPr>
        <w:pStyle w:val="null3"/>
        <w:ind w:firstLine="480"/>
        <w:jc w:val="left"/>
      </w:pPr>
      <w:r>
        <w:rPr>
          <w:rFonts w:ascii="仿宋_GB2312" w:hAnsi="仿宋_GB2312" w:cs="仿宋_GB2312" w:eastAsia="仿宋_GB2312"/>
          <w:sz w:val="24"/>
          <w:color w:val="000000"/>
        </w:rPr>
        <w:t>13.1采购人、中标人双方协商解决。</w:t>
      </w:r>
    </w:p>
    <w:p>
      <w:pPr>
        <w:pStyle w:val="null3"/>
        <w:ind w:firstLine="480"/>
        <w:jc w:val="left"/>
      </w:pPr>
      <w:r>
        <w:rPr>
          <w:rFonts w:ascii="仿宋_GB2312" w:hAnsi="仿宋_GB2312" w:cs="仿宋_GB2312" w:eastAsia="仿宋_GB2312"/>
          <w:sz w:val="24"/>
          <w:color w:val="000000"/>
        </w:rPr>
        <w:t>13.2若协商解决不成，则通过向有管辖权的人民法院提起诉讼。</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[350101]SQ[GK]2025004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福建省福州结核病防治院移动床边DR拍片机采购项目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1(福建省福州结核病防治院移动床边DR拍片机采购项目)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福建省福州结核病防治院移动床边DR拍片机采购项目</w:t>
            </w:r>
          </w:p>
        </w:tc>
        <w:tc>
          <w:tcPr>
            <w:tcW w:type="dxa" w:w="1661"/>
          </w:tcPr>
          <w:p>
            <w:pPr>
              <w:pStyle w:val="null3"/>
              <w:jc w:val="left"/>
            </w:pPr>
            <w:r>
              <w:rPr>
                <w:rFonts w:ascii="仿宋_GB2312" w:hAnsi="仿宋_GB2312" w:cs="仿宋_GB2312" w:eastAsia="仿宋_GB2312"/>
              </w:rPr>
              <w:t xml:space="preserve"> 770000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[350101]SQ[GK]2025004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福建省福州结核病防治院移动床边DR拍片机采购项目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福建省福州结核病防治院移动床边DR拍片机采购项目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移动床边DR拍片机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移动床边DR拍片机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770000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