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流式细胞仪</w:t>
      </w:r>
    </w:p>
    <w:p>
      <w:pPr>
        <w:pStyle w:val="null3"/>
        <w:jc w:val="center"/>
        <w:outlineLvl w:val="2"/>
      </w:pPr>
      <w:r>
        <w:rPr>
          <w:sz w:val="28"/>
          <w:b/>
        </w:rPr>
        <w:t>备案编号：</w:t>
      </w:r>
      <w:r>
        <w:rPr>
          <w:sz w:val="28"/>
          <w:b/>
        </w:rPr>
        <w:t>CGXM-2024-350101-02055[2024]03645</w:t>
      </w:r>
    </w:p>
    <w:p>
      <w:pPr>
        <w:pStyle w:val="null3"/>
        <w:jc w:val="center"/>
        <w:outlineLvl w:val="2"/>
      </w:pPr>
      <w:r>
        <w:rPr>
          <w:sz w:val="28"/>
          <w:b/>
        </w:rPr>
        <w:t>项目编号：</w:t>
      </w:r>
      <w:r>
        <w:rPr>
          <w:sz w:val="28"/>
          <w:b/>
        </w:rPr>
        <w:t>[350101]GWCG[GK]2024008</w:t>
      </w:r>
    </w:p>
    <w:p>
      <w:pPr>
        <w:pStyle w:val="null3"/>
        <w:jc w:val="center"/>
        <w:outlineLvl w:val="2"/>
      </w:pPr>
      <w:r>
        <w:rPr>
          <w:sz w:val="28"/>
          <w:b/>
        </w:rPr>
        <w:t>采购人：</w:t>
      </w:r>
      <w:r>
        <w:rPr>
          <w:sz w:val="28"/>
          <w:b/>
        </w:rPr>
        <w:t>福建省福州结核病防治院</w:t>
      </w:r>
    </w:p>
    <w:p>
      <w:pPr>
        <w:pStyle w:val="null3"/>
        <w:jc w:val="center"/>
        <w:outlineLvl w:val="2"/>
      </w:pPr>
      <w:r>
        <w:rPr>
          <w:sz w:val="28"/>
          <w:b/>
        </w:rPr>
        <w:t>代理机构：</w:t>
      </w:r>
      <w:r>
        <w:rPr>
          <w:sz w:val="28"/>
          <w:b/>
        </w:rPr>
        <w:t>厦门市公物采购招投标有限公司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厦门市公物采购招投标有限公司</w:t>
      </w:r>
      <w:r>
        <w:rPr/>
        <w:t xml:space="preserve"> 采用公开招标方式组织 </w:t>
      </w:r>
      <w:r>
        <w:rPr/>
        <w:t>流式细胞仪</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CGXM-2024-350101-02055[2024]03645</w:t>
      </w:r>
    </w:p>
    <w:p>
      <w:pPr>
        <w:pStyle w:val="null3"/>
        <w:ind w:firstLine="480"/>
        <w:jc w:val="left"/>
        <w:outlineLvl w:val="2"/>
      </w:pPr>
      <w:r>
        <w:rPr>
          <w:sz w:val="28"/>
          <w:b/>
        </w:rPr>
        <w:t>2、项目编号</w:t>
      </w:r>
      <w:r>
        <w:rPr>
          <w:sz w:val="28"/>
          <w:b/>
        </w:rPr>
        <w:t>：</w:t>
      </w:r>
      <w:r>
        <w:rPr>
          <w:sz w:val="28"/>
          <w:b/>
        </w:rPr>
        <w:t>[350101]GWCG[GK]2024008</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w:t>
      </w:r>
    </w:p>
    <w:p>
      <w:pPr>
        <w:pStyle w:val="null3"/>
        <w:ind w:firstLine="960"/>
        <w:jc w:val="left"/>
      </w:pPr>
      <w:r>
        <w:rPr/>
        <w:t>环境标志产品：</w:t>
      </w:r>
      <w:r>
        <w:rPr/>
        <w:t>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其他资格证明文件1</w:t>
            </w:r>
          </w:p>
        </w:tc>
        <w:tc>
          <w:tcPr>
            <w:tcW w:type="dxa" w:w="4614"/>
          </w:tcPr>
          <w:p>
            <w:pPr>
              <w:pStyle w:val="null3"/>
              <w:jc w:val="left"/>
            </w:pPr>
            <w:r>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所有证件必须真实有效</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350008</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sz w:val="28"/>
          <w:b/>
        </w:rPr>
        <w:t>12、代理机构</w:t>
      </w:r>
      <w:r>
        <w:rPr>
          <w:sz w:val="28"/>
          <w:b/>
        </w:rPr>
        <w:t>：</w:t>
      </w:r>
      <w:r>
        <w:rPr>
          <w:sz w:val="28"/>
          <w:b/>
        </w:rPr>
        <w:t>厦门市公物采购招投标有限公司</w:t>
      </w:r>
    </w:p>
    <w:p>
      <w:pPr>
        <w:pStyle w:val="null3"/>
        <w:ind w:firstLine="960"/>
        <w:jc w:val="both"/>
      </w:pPr>
      <w:r>
        <w:rPr/>
        <w:t xml:space="preserve"> 地址： </w:t>
      </w:r>
      <w:r>
        <w:rPr/>
        <w:t>福州市晋安区东二环泰禾广场8座716室</w:t>
      </w:r>
    </w:p>
    <w:p>
      <w:pPr>
        <w:pStyle w:val="null3"/>
        <w:jc w:val="both"/>
      </w:pPr>
      <w:r>
        <w:rPr/>
        <w:t xml:space="preserve"> 邮编： </w:t>
      </w:r>
      <w:r>
        <w:rPr/>
        <w:t>350013</w:t>
      </w:r>
    </w:p>
    <w:p>
      <w:pPr>
        <w:pStyle w:val="null3"/>
        <w:jc w:val="both"/>
      </w:pPr>
      <w:r>
        <w:rPr/>
        <w:t xml:space="preserve"> 联系人： </w:t>
      </w:r>
      <w:r>
        <w:rPr/>
        <w:t>林宁</w:t>
      </w:r>
    </w:p>
    <w:p>
      <w:pPr>
        <w:pStyle w:val="null3"/>
        <w:jc w:val="both"/>
      </w:pPr>
      <w:r>
        <w:rPr/>
        <w:t xml:space="preserve"> 联系电话： </w:t>
      </w:r>
      <w:r>
        <w:rPr/>
        <w:t>0591-87328296</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厦门市公物采购招投标有限公司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1,990,000.00</w:t>
      </w:r>
    </w:p>
    <w:p>
      <w:pPr>
        <w:pStyle w:val="null3"/>
        <w:jc w:val="left"/>
      </w:pPr>
      <w:r>
        <w:rPr/>
        <w:t>采购包最高限价（元）: 1,600,000.00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流式细胞仪</w:t>
            </w:r>
          </w:p>
        </w:tc>
        <w:tc>
          <w:tcPr>
            <w:tcW w:type="dxa" w:w="1187"/>
          </w:tcPr>
          <w:p>
            <w:pPr>
              <w:pStyle w:val="null3"/>
              <w:jc w:val="right"/>
            </w:pPr>
            <w:r>
              <w:rPr/>
              <w:t>1.00</w:t>
            </w:r>
          </w:p>
        </w:tc>
        <w:tc>
          <w:tcPr>
            <w:tcW w:type="dxa" w:w="1187"/>
          </w:tcPr>
          <w:p>
            <w:pPr>
              <w:pStyle w:val="null3"/>
              <w:jc w:val="right"/>
            </w:pPr>
            <w:r>
              <w:rPr/>
              <w:t>1,990,000.00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流式细胞仪</w:t>
            </w:r>
          </w:p>
        </w:tc>
        <w:tc>
          <w:tcPr>
            <w:tcW w:type="dxa" w:w="554"/>
          </w:tcPr>
          <w:p>
            <w:pPr>
              <w:pStyle w:val="null3"/>
              <w:jc w:val="left"/>
            </w:pPr>
            <w:r>
              <w:rPr/>
              <w:t>台</w:t>
            </w:r>
          </w:p>
        </w:tc>
        <w:tc>
          <w:tcPr>
            <w:tcW w:type="dxa" w:w="554"/>
          </w:tcPr>
          <w:p>
            <w:pPr>
              <w:pStyle w:val="null3"/>
              <w:jc w:val="left"/>
            </w:pPr>
            <w:r>
              <w:rPr/>
              <w:t>元</w:t>
            </w:r>
          </w:p>
        </w:tc>
        <w:tc>
          <w:tcPr>
            <w:tcW w:type="dxa" w:w="1384"/>
          </w:tcPr>
          <w:p>
            <w:pPr>
              <w:pStyle w:val="null3"/>
              <w:jc w:val="right"/>
            </w:pPr>
            <w:r>
              <w:rPr/>
              <w:t>1,600,000.00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流式细胞仪</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流式细胞仪</w:t>
            </w:r>
          </w:p>
        </w:tc>
        <w:tc>
          <w:tcPr>
            <w:tcW w:type="dxa" w:w="2076"/>
          </w:tcPr>
          <w:p>
            <w:pPr>
              <w:pStyle w:val="null3"/>
              <w:jc w:val="left"/>
            </w:pPr>
            <w:r>
              <w:rPr/>
              <w:t>流式细胞仪</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1,600,000.00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厦门市公物采购招投标有限公司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代理服务费收费标准：按照采购包中标金额，以差额定率累进法计算，具体按以下标准收取：（0元，100万元] ：1.5%，（100元，500万元] ：1.1%。2.招标代理服务费由中标人在领取中标通知书的同时，以转账、电汇、现金存款等付款方式一次性缴清。 3.厦门市公物采购招投标有限公司福州分公司账户, 收款账户：厦门市公物采购招投标有限公司福州分公司、账 号：116050100100045277；开户行：兴业银行福州西湖支行。</w:t>
            </w:r>
          </w:p>
          <w:p>
            <w:pPr>
              <w:pStyle w:val="null3"/>
              <w:jc w:val="left"/>
            </w:pPr>
            <w:r>
              <w:rPr/>
              <w:t xml:space="preserve"> (2)其他：</w:t>
            </w:r>
          </w:p>
          <w:p>
            <w:pPr>
              <w:pStyle w:val="null3"/>
              <w:jc w:val="left"/>
            </w:pPr>
            <w:r>
              <w:rPr/>
              <w:t>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厦门市公物采购招投标有限公司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厦门市公物采购招投标有限公司</w:t>
      </w:r>
      <w:r>
        <w:rPr/>
        <w:t xml:space="preserve"> 将在投标截止时间至少15个日历日前，在招标文件载明的指定媒体以更正公告的形式发布澄清或修改的内容。不足15个日历日的， </w:t>
      </w:r>
      <w:r>
        <w:rPr/>
        <w:t>厦门市公物采购招投标有限公司</w:t>
      </w:r>
      <w:r>
        <w:rPr/>
        <w:t xml:space="preserve"> 将顺延投标截止时间及开标时间， </w:t>
      </w:r>
      <w:r>
        <w:rPr/>
        <w:t>厦门市公物采购招投标有限公司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厦门市公物采购招投标有限公司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厦门市公物采购招投标有限公司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厦门市公物采购招投标有限公司</w:t>
      </w:r>
      <w:r>
        <w:rPr/>
        <w:t xml:space="preserve"> 可终止招标并发布终止公告。</w:t>
      </w:r>
    </w:p>
    <w:p>
      <w:pPr>
        <w:pStyle w:val="null3"/>
        <w:ind w:firstLine="480"/>
        <w:jc w:val="both"/>
      </w:pPr>
      <w:r>
        <w:rPr/>
        <w:t xml:space="preserve">8.2终止公告作为 </w:t>
      </w:r>
      <w:r>
        <w:rPr/>
        <w:t>厦门市公物采购招投标有限公司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厦门市公物采购招投标有限公司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厦门市公物采购招投标有限公司</w:t>
      </w:r>
      <w:r>
        <w:rPr/>
        <w:t xml:space="preserve"> 可于投标有效期届满之前书面要求投标人延长投标有效期，投标人应在 </w:t>
      </w:r>
      <w:r>
        <w:rPr/>
        <w:t>厦门市公物采购招投标有限公司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厦门市公物采购招投标有限公司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厦门市公物采购招投标有限公司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厦门市公物采购招投标有限公司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厦门市公物采购招投标有限公司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厦门市公物采购招投标有限公司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厦门市公物采购招投标有限公司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厦门市公物采购招投标有限公司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厦门市公物采购招投标有限公司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厦门市公物采购招投标有限公司</w:t>
      </w:r>
      <w:r>
        <w:rPr/>
        <w:t xml:space="preserve"> 提出询问， </w:t>
      </w:r>
      <w:r>
        <w:rPr/>
        <w:t>厦门市公物采购招投标有限公司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厦门市公物采购招投标有限公司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厦门市公物采购招投标有限公司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由厦门市公物采购招投标有限公司派出的工作人员至少1人，</w:t>
      </w:r>
      <w:r>
        <w:rPr/>
        <w:t>其余1人可为采购人代表或厦门市公物采购招投标有限公司的工作人员。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其他资格证明文件1</w:t>
            </w:r>
          </w:p>
        </w:tc>
        <w:tc>
          <w:tcPr>
            <w:tcW w:type="dxa" w:w="4614"/>
          </w:tcPr>
          <w:p>
            <w:pPr>
              <w:pStyle w:val="null3"/>
              <w:jc w:val="left"/>
            </w:pPr>
            <w:r>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所有证件必须真实有效</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厦门市公物采购招投标有限公司</w:t>
      </w:r>
      <w:r>
        <w:rPr/>
        <w:t xml:space="preserve"> 统一对外发布。</w:t>
      </w:r>
    </w:p>
    <w:p>
      <w:pPr>
        <w:pStyle w:val="null3"/>
        <w:ind w:firstLine="480"/>
        <w:jc w:val="both"/>
      </w:pPr>
      <w:r>
        <w:rPr/>
        <w:t xml:space="preserve">3、资格审查合格的投标人不足三家的，不进行评标。同时，本次采购活动结束， </w:t>
      </w:r>
      <w:r>
        <w:rPr/>
        <w:t>厦门市公物采购招投标有限公司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厦门市公物采购招投标有限公司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厦门市公物采购招投标有限公司</w:t>
      </w:r>
      <w:r>
        <w:rPr/>
        <w:t xml:space="preserve"> 统一对外发布。</w:t>
      </w:r>
    </w:p>
    <w:p>
      <w:pPr>
        <w:pStyle w:val="null3"/>
        <w:ind w:firstLine="480"/>
        <w:jc w:val="both"/>
      </w:pPr>
      <w:r>
        <w:rPr/>
        <w:t xml:space="preserve">②对 </w:t>
      </w:r>
      <w:r>
        <w:rPr/>
        <w:t>厦门市公物采购招投标有限公司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技术符合性</w:t>
            </w:r>
          </w:p>
        </w:tc>
        <w:tc>
          <w:tcPr>
            <w:tcW w:type="dxa" w:w="4614"/>
          </w:tcPr>
          <w:p>
            <w:pPr>
              <w:pStyle w:val="null3"/>
              <w:jc w:val="left"/>
            </w:pPr>
            <w:r>
              <w:rPr/>
              <w:t>1、对第五章“二、技术和服务要求”任意一项要求存在未响应或者负偏离的，其投标无效；2、投标文件技术部分中出现报价部分的全部或部分的投标报价信息（或组成资料）;3、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商务符合性</w:t>
            </w:r>
          </w:p>
        </w:tc>
        <w:tc>
          <w:tcPr>
            <w:tcW w:type="dxa" w:w="4614"/>
          </w:tcPr>
          <w:p>
            <w:pPr>
              <w:pStyle w:val="null3"/>
              <w:jc w:val="left"/>
            </w:pPr>
            <w:r>
              <w:rPr/>
              <w:t>1、对第五章“三、商务要求”任意一项要求存在未响应或者负偏离的，其投标无效。2、投标文件商务部分中出现报价部分的全部或部分的投标报价信息（或组成资料）;3、属于招标文件规定评标委员会否决其投标的情形。</w:t>
            </w:r>
          </w:p>
        </w:tc>
      </w:tr>
    </w:tbl>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采购包1：最低评标价法</w:t>
      </w:r>
    </w:p>
    <w:p>
      <w:pPr>
        <w:pStyle w:val="null3"/>
        <w:ind w:firstLine="480"/>
        <w:jc w:val="both"/>
      </w:pPr>
      <w:r>
        <w:rPr/>
        <w:t>7.2评标标准</w:t>
      </w:r>
    </w:p>
    <w:p>
      <w:pPr>
        <w:pStyle w:val="null3"/>
        <w:ind w:firstLine="480"/>
        <w:jc w:val="both"/>
      </w:pPr>
      <w:r>
        <w:rPr/>
        <w:t>采购包1：最低评标价法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评审时，对符合《政府采购促进中小企业发展管理办法》（财库﹝2020﹞46号）及《福建省财政厅关于进一步加大政府采购支持中小企业力度的通知》（闽财规〔2022〕13号）规定的小微企业报价给予价格扣除【货物和服务项目：为15%】，用扣除后的价格参加评审。供应商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响应的其报价享受小微企业同等比例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采购活动价格扣除的通知》，凡符合上述文件要求条件的残疾人福利性单位在参加政府采购活动时视同小型、微型企业，享受预留份额、评审中价格扣除等促进中小企业发展的政府采购政策。此次若有参加响应的对残疾人福利性单位报价部分给予小微企业同等比例的扣除，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4、具体详见采购文件规定，上述规定与政府采购相关法律、法规、制度等有冲突的，以现行法律、法规、制度等执行。 5、本项目为非专门面向中小企业采购货物类项目，采购标的对应的中小企业划分标准所属行业详见“采购标的一览表”。</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1、</w:t>
      </w:r>
      <w:r>
        <w:rPr>
          <w:rFonts w:ascii="宋体" w:hAnsi="宋体" w:cs="宋体" w:eastAsia="宋体"/>
          <w:sz w:val="24"/>
          <w:shd w:fill="FFFFFF" w:val="clear"/>
        </w:rPr>
        <w:t>本次为</w:t>
      </w:r>
      <w:r>
        <w:rPr>
          <w:rFonts w:ascii="宋体" w:hAnsi="宋体" w:cs="宋体" w:eastAsia="宋体"/>
          <w:sz w:val="24"/>
        </w:rPr>
        <w:t>福建省福州结核病防治院流式细胞仪采购，投标人须保证所提供的货物是全新的、未使用过的产品，在各个方面符合规定的质量、规格和性能要求。</w:t>
      </w:r>
    </w:p>
    <w:p>
      <w:pPr>
        <w:pStyle w:val="null3"/>
        <w:ind w:firstLine="480"/>
        <w:jc w:val="both"/>
      </w:pPr>
      <w:r>
        <w:rPr>
          <w:rFonts w:ascii="宋体" w:hAnsi="宋体" w:cs="宋体" w:eastAsia="宋体"/>
          <w:sz w:val="24"/>
        </w:rPr>
        <w:t>2、投标人所投产品如属国家强制要求或者节能认证的，应符合相关规定。</w:t>
      </w:r>
    </w:p>
    <w:p>
      <w:pPr>
        <w:pStyle w:val="null3"/>
        <w:ind w:firstLine="495"/>
        <w:jc w:val="both"/>
      </w:pPr>
      <w:r>
        <w:rPr>
          <w:rFonts w:ascii="宋体" w:hAnsi="宋体" w:cs="宋体" w:eastAsia="宋体"/>
          <w:sz w:val="24"/>
        </w:rPr>
        <w:t>3、投标人可按合同包报价，对同一合同包内所有品目号内容报价时必须完整。评审与授标以合同包为单位。</w:t>
      </w:r>
    </w:p>
    <w:p>
      <w:pPr>
        <w:pStyle w:val="null3"/>
        <w:ind w:firstLine="480"/>
        <w:jc w:val="both"/>
      </w:pPr>
      <w:r>
        <w:rPr>
          <w:rFonts w:ascii="宋体" w:hAnsi="宋体" w:cs="宋体" w:eastAsia="宋体"/>
          <w:sz w:val="24"/>
        </w:rPr>
        <w:t>4、</w:t>
      </w:r>
      <w:r>
        <w:rPr>
          <w:rFonts w:ascii="宋体" w:hAnsi="宋体" w:cs="宋体" w:eastAsia="宋体"/>
          <w:sz w:val="24"/>
          <w:shd w:fill="FFFFFF" w:val="clear"/>
        </w:rPr>
        <w:t>投标人的报价应以包含货物所涉及的有关项目的所有费用，包括：产品制造、运输、保险、安装、调试、搬运及设备就位、培训、保修、备品备件、专用工具、税收等一切相关费用。</w:t>
      </w:r>
      <w:r>
        <w:rPr>
          <w:rFonts w:ascii="宋体" w:hAnsi="宋体" w:cs="宋体" w:eastAsia="宋体"/>
          <w:sz w:val="24"/>
        </w:rPr>
        <w:t>还要考虑到合同中可能出现的索赔和变更。</w:t>
      </w:r>
    </w:p>
    <w:p>
      <w:pPr>
        <w:pStyle w:val="null3"/>
        <w:ind w:firstLine="480"/>
        <w:jc w:val="both"/>
      </w:pPr>
      <w:r>
        <w:rPr>
          <w:rFonts w:ascii="宋体" w:hAnsi="宋体" w:cs="宋体" w:eastAsia="宋体"/>
          <w:sz w:val="24"/>
          <w:shd w:fill="FFFFFF" w:val="clear"/>
        </w:rPr>
        <w:t>5、采购包1最高限价为1600000元，投标人报价超过最高限价其投标无效。</w:t>
      </w:r>
    </w:p>
    <w:p>
      <w:pPr>
        <w:pStyle w:val="null3"/>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4"/>
          <w:b/>
          <w:shd w:fill="FFFFFF" w:val="clear"/>
        </w:rPr>
        <w:t>★以下技术要求为不允许负偏离的实质性要求</w:t>
      </w:r>
    </w:p>
    <w:p>
      <w:pPr>
        <w:pStyle w:val="null3"/>
        <w:jc w:val="both"/>
      </w:pPr>
      <w:r>
        <w:rPr>
          <w:rFonts w:ascii="宋体" w:hAnsi="宋体" w:cs="宋体" w:eastAsia="宋体"/>
          <w:sz w:val="24"/>
          <w:b/>
        </w:rPr>
        <w:t>1、光学系统：</w:t>
      </w:r>
    </w:p>
    <w:p>
      <w:pPr>
        <w:pStyle w:val="null3"/>
        <w:spacing w:before="105"/>
        <w:jc w:val="both"/>
      </w:pPr>
      <w:r>
        <w:rPr>
          <w:rFonts w:ascii="宋体" w:hAnsi="宋体" w:cs="宋体" w:eastAsia="宋体"/>
          <w:sz w:val="24"/>
        </w:rPr>
        <w:t>1.1激光器配置:488nm、638nm、405nm固体激光器，功率均≥48mw，激光功率可由软件实时监控，空间独立排列。</w:t>
      </w:r>
    </w:p>
    <w:p>
      <w:pPr>
        <w:pStyle w:val="null3"/>
        <w:spacing w:before="105"/>
        <w:jc w:val="both"/>
      </w:pPr>
      <w:r>
        <w:rPr>
          <w:rFonts w:ascii="宋体" w:hAnsi="宋体" w:cs="宋体" w:eastAsia="宋体"/>
          <w:sz w:val="24"/>
        </w:rPr>
        <w:t>1.2检测通道设置：</w:t>
      </w:r>
    </w:p>
    <w:p>
      <w:pPr>
        <w:pStyle w:val="null3"/>
        <w:spacing w:before="105"/>
        <w:jc w:val="both"/>
      </w:pPr>
      <w:r>
        <w:rPr>
          <w:rFonts w:ascii="宋体" w:hAnsi="宋体" w:cs="宋体" w:eastAsia="宋体"/>
          <w:sz w:val="24"/>
        </w:rPr>
        <w:t>488nm激光激发≥五色荧光，检测FITC, PE, ECD, PC5.5和PC7荧光染料，</w:t>
      </w:r>
    </w:p>
    <w:p>
      <w:pPr>
        <w:pStyle w:val="null3"/>
        <w:spacing w:before="105"/>
        <w:jc w:val="both"/>
      </w:pPr>
      <w:r>
        <w:rPr>
          <w:rFonts w:ascii="宋体" w:hAnsi="宋体" w:cs="宋体" w:eastAsia="宋体"/>
          <w:sz w:val="24"/>
        </w:rPr>
        <w:t>638nm激光激发≥三色荧光，检测APC, APC-A700，APC-A750荧光染料，</w:t>
      </w:r>
    </w:p>
    <w:p>
      <w:pPr>
        <w:pStyle w:val="null3"/>
        <w:spacing w:before="105"/>
        <w:jc w:val="both"/>
      </w:pPr>
      <w:r>
        <w:rPr>
          <w:rFonts w:ascii="宋体" w:hAnsi="宋体" w:cs="宋体" w:eastAsia="宋体"/>
          <w:sz w:val="24"/>
        </w:rPr>
        <w:t>405nm激光激发≥五色荧光，检测PB450、KO525、Violet610、Violet660、Violet780、荧光染料，以及前向角散射光检测通道和侧向角散射光检测通道。</w:t>
      </w:r>
    </w:p>
    <w:p>
      <w:pPr>
        <w:pStyle w:val="null3"/>
        <w:spacing w:before="105"/>
        <w:jc w:val="both"/>
      </w:pPr>
      <w:r>
        <w:rPr>
          <w:rFonts w:ascii="宋体" w:hAnsi="宋体" w:cs="宋体" w:eastAsia="宋体"/>
          <w:sz w:val="24"/>
        </w:rPr>
        <w:t>1.3光路设计：固定校准的光路设计，每根激光间信号独立传播。</w:t>
      </w:r>
    </w:p>
    <w:p>
      <w:pPr>
        <w:pStyle w:val="null3"/>
        <w:spacing w:before="105"/>
        <w:jc w:val="both"/>
      </w:pPr>
      <w:r>
        <w:rPr>
          <w:rFonts w:ascii="宋体" w:hAnsi="宋体" w:cs="宋体" w:eastAsia="宋体"/>
          <w:sz w:val="24"/>
        </w:rPr>
        <w:t>1.4配置雪崩光电二极管阵列检测器（Fiber Array Photo Detector）检测器。</w:t>
      </w:r>
    </w:p>
    <w:p>
      <w:pPr>
        <w:pStyle w:val="null3"/>
      </w:pPr>
      <w:r>
        <w:rPr>
          <w:rFonts w:ascii="宋体" w:hAnsi="宋体" w:cs="宋体" w:eastAsia="宋体"/>
          <w:sz w:val="24"/>
        </w:rPr>
        <w:t>1.5流动室使用免校准型集成得光学石英流动室，N.A＞1.3；流动室：≥420 μm x 180 μm。</w:t>
      </w:r>
    </w:p>
    <w:p>
      <w:pPr>
        <w:pStyle w:val="null3"/>
        <w:jc w:val="both"/>
      </w:pPr>
      <w:r>
        <w:rPr>
          <w:rFonts w:ascii="宋体" w:hAnsi="宋体" w:cs="宋体" w:eastAsia="宋体"/>
          <w:sz w:val="24"/>
          <w:b/>
        </w:rPr>
        <w:t>2、分析性能：</w:t>
      </w:r>
    </w:p>
    <w:p>
      <w:pPr>
        <w:pStyle w:val="null3"/>
        <w:spacing w:before="105"/>
      </w:pPr>
      <w:r>
        <w:rPr>
          <w:rFonts w:ascii="宋体" w:hAnsi="宋体" w:cs="宋体" w:eastAsia="宋体"/>
          <w:sz w:val="24"/>
        </w:rPr>
        <w:t>2.1荧光灵敏度：FITC的荧光灵敏度＜30 MESF，PE的荧光灵敏度＜15 MESF。</w:t>
      </w:r>
    </w:p>
    <w:p>
      <w:pPr>
        <w:pStyle w:val="null3"/>
        <w:spacing w:before="105"/>
        <w:jc w:val="both"/>
      </w:pPr>
      <w:r>
        <w:rPr>
          <w:rFonts w:ascii="宋体" w:hAnsi="宋体" w:cs="宋体" w:eastAsia="宋体"/>
          <w:sz w:val="24"/>
        </w:rPr>
        <w:t>2.2荧光分辨率：CV≤2%（G0/G1期最高峰）。</w:t>
      </w:r>
    </w:p>
    <w:p>
      <w:pPr>
        <w:pStyle w:val="null3"/>
        <w:jc w:val="both"/>
      </w:pPr>
      <w:r>
        <w:rPr>
          <w:rFonts w:ascii="宋体" w:hAnsi="宋体" w:cs="宋体" w:eastAsia="宋体"/>
          <w:sz w:val="24"/>
          <w:b/>
        </w:rPr>
        <w:t>3、电子系统：</w:t>
      </w:r>
    </w:p>
    <w:p>
      <w:pPr>
        <w:pStyle w:val="null3"/>
        <w:spacing w:before="105"/>
        <w:jc w:val="both"/>
      </w:pPr>
      <w:r>
        <w:rPr>
          <w:rFonts w:ascii="宋体" w:hAnsi="宋体" w:cs="宋体" w:eastAsia="宋体"/>
          <w:sz w:val="24"/>
        </w:rPr>
        <w:t>3.1信号处理精度：≥1600万道数字信号精度。</w:t>
      </w:r>
    </w:p>
    <w:p>
      <w:pPr>
        <w:pStyle w:val="null3"/>
        <w:spacing w:before="105"/>
        <w:jc w:val="both"/>
      </w:pPr>
      <w:r>
        <w:rPr>
          <w:rFonts w:ascii="宋体" w:hAnsi="宋体" w:cs="宋体" w:eastAsia="宋体"/>
          <w:sz w:val="24"/>
        </w:rPr>
        <w:t>3.2</w:t>
      </w:r>
      <w:r>
        <w:rPr/>
        <w:t xml:space="preserve"> </w:t>
      </w:r>
      <w:r>
        <w:rPr>
          <w:rFonts w:ascii="宋体" w:hAnsi="宋体" w:cs="宋体" w:eastAsia="宋体"/>
          <w:sz w:val="24"/>
        </w:rPr>
        <w:t>≥10的7次方线性动态范围，可以将高信号和低信号都完全显示在一张图上。</w:t>
      </w:r>
    </w:p>
    <w:p>
      <w:pPr>
        <w:pStyle w:val="null3"/>
        <w:spacing w:before="105"/>
        <w:jc w:val="both"/>
      </w:pPr>
      <w:r>
        <w:rPr>
          <w:rFonts w:ascii="宋体" w:hAnsi="宋体" w:cs="宋体" w:eastAsia="宋体"/>
          <w:sz w:val="24"/>
        </w:rPr>
        <w:t>3.3支持多色荧光信号共同采集，≥15个参数同时检测，信号获取速度（上样速度）≥30000个/秒。</w:t>
      </w:r>
    </w:p>
    <w:p>
      <w:pPr>
        <w:pStyle w:val="null3"/>
        <w:spacing w:before="105"/>
        <w:jc w:val="both"/>
      </w:pPr>
      <w:r>
        <w:rPr>
          <w:rFonts w:ascii="宋体" w:hAnsi="宋体" w:cs="宋体" w:eastAsia="宋体"/>
          <w:sz w:val="24"/>
        </w:rPr>
        <w:t>3.4检测器采用全反射光学组件传递荧光信号，每个检测器前面仅配有带通滤光片。</w:t>
      </w:r>
    </w:p>
    <w:p>
      <w:pPr>
        <w:pStyle w:val="null3"/>
        <w:jc w:val="both"/>
      </w:pPr>
      <w:r>
        <w:rPr>
          <w:rFonts w:ascii="宋体" w:hAnsi="宋体" w:cs="宋体" w:eastAsia="宋体"/>
          <w:sz w:val="24"/>
          <w:b/>
        </w:rPr>
        <w:t>4、液路系统：</w:t>
      </w:r>
    </w:p>
    <w:p>
      <w:pPr>
        <w:pStyle w:val="null3"/>
        <w:spacing w:before="105"/>
        <w:jc w:val="both"/>
      </w:pPr>
      <w:r>
        <w:rPr>
          <w:rFonts w:ascii="宋体" w:hAnsi="宋体" w:cs="宋体" w:eastAsia="宋体"/>
          <w:sz w:val="24"/>
        </w:rPr>
        <w:t>4.1自动化上样系统，配备≥30管轮转盘自动化进样器，具有单管自动混匀和内外管壁自动清洗功能，降低样本间交叉污染。</w:t>
      </w:r>
    </w:p>
    <w:p>
      <w:pPr>
        <w:pStyle w:val="null3"/>
        <w:spacing w:before="105"/>
        <w:jc w:val="both"/>
      </w:pPr>
      <w:r>
        <w:rPr>
          <w:rFonts w:ascii="宋体" w:hAnsi="宋体" w:cs="宋体" w:eastAsia="宋体"/>
          <w:sz w:val="24"/>
        </w:rPr>
        <w:t>4.2可支持多种常用的进样管，如5 mL的聚苯乙烯和聚丙烯流式管,1.5 mL 和2 mL EP管。</w:t>
      </w:r>
    </w:p>
    <w:p>
      <w:pPr>
        <w:pStyle w:val="null3"/>
        <w:spacing w:before="105"/>
        <w:jc w:val="both"/>
      </w:pPr>
      <w:r>
        <w:rPr>
          <w:rFonts w:ascii="宋体" w:hAnsi="宋体" w:cs="宋体" w:eastAsia="宋体"/>
          <w:sz w:val="24"/>
        </w:rPr>
        <w:t>4.3内置自动化的液流系统维护程序，例如开关机程序、启动（初始化）、每日清洗、排气泡、反冲等全部由自动软件控制。</w:t>
      </w:r>
    </w:p>
    <w:p>
      <w:pPr>
        <w:pStyle w:val="null3"/>
        <w:spacing w:before="105"/>
        <w:jc w:val="both"/>
      </w:pPr>
      <w:r>
        <w:rPr>
          <w:rFonts w:ascii="宋体" w:hAnsi="宋体" w:cs="宋体" w:eastAsia="宋体"/>
          <w:sz w:val="24"/>
        </w:rPr>
        <w:t>4.4使用超低脉冲蠕动泵式鞘液和样本液流系统。</w:t>
      </w:r>
    </w:p>
    <w:p>
      <w:pPr>
        <w:pStyle w:val="null3"/>
        <w:spacing w:before="105"/>
        <w:jc w:val="both"/>
      </w:pPr>
      <w:r>
        <w:rPr>
          <w:rFonts w:ascii="宋体" w:hAnsi="宋体" w:cs="宋体" w:eastAsia="宋体"/>
          <w:sz w:val="24"/>
        </w:rPr>
        <w:t>4.5样本流速，可选10、30、60μL/min，或自定义流速10-240 μL/min，以1 μL为增量单位。</w:t>
      </w:r>
    </w:p>
    <w:p>
      <w:pPr>
        <w:pStyle w:val="null3"/>
        <w:jc w:val="both"/>
      </w:pPr>
      <w:r>
        <w:rPr>
          <w:rFonts w:ascii="宋体" w:hAnsi="宋体" w:cs="宋体" w:eastAsia="宋体"/>
          <w:sz w:val="24"/>
          <w:b/>
        </w:rPr>
        <w:t>5、软件功能：</w:t>
      </w:r>
    </w:p>
    <w:p>
      <w:pPr>
        <w:pStyle w:val="null3"/>
        <w:spacing w:before="105"/>
        <w:jc w:val="both"/>
      </w:pPr>
      <w:r>
        <w:rPr>
          <w:rFonts w:ascii="宋体" w:hAnsi="宋体" w:cs="宋体" w:eastAsia="宋体"/>
          <w:sz w:val="24"/>
        </w:rPr>
        <w:t>5.1操作系统：Window 7或更高版本。</w:t>
      </w:r>
    </w:p>
    <w:p>
      <w:pPr>
        <w:pStyle w:val="null3"/>
        <w:spacing w:before="105"/>
        <w:jc w:val="both"/>
      </w:pPr>
      <w:r>
        <w:rPr>
          <w:rFonts w:ascii="宋体" w:hAnsi="宋体" w:cs="宋体" w:eastAsia="宋体"/>
          <w:sz w:val="24"/>
        </w:rPr>
        <w:t>5.2支持中英文操作界面，全部采用图形化参数调节。</w:t>
      </w:r>
    </w:p>
    <w:p>
      <w:pPr>
        <w:pStyle w:val="null3"/>
        <w:spacing w:before="105"/>
        <w:jc w:val="both"/>
      </w:pPr>
      <w:r>
        <w:rPr>
          <w:rFonts w:ascii="宋体" w:hAnsi="宋体" w:cs="宋体" w:eastAsia="宋体"/>
          <w:sz w:val="24"/>
        </w:rPr>
        <w:t>5.3全自动质控程序：内置的质控程序自动检测仪器配置，激光器功率、激光延迟、每个通道的rCV值、增益值和平均荧光强度等。</w:t>
      </w:r>
    </w:p>
    <w:p>
      <w:pPr>
        <w:pStyle w:val="null3"/>
        <w:spacing w:before="105"/>
      </w:pPr>
      <w:r>
        <w:rPr>
          <w:rFonts w:ascii="宋体" w:hAnsi="宋体" w:cs="宋体" w:eastAsia="宋体"/>
          <w:sz w:val="24"/>
        </w:rPr>
        <w:t>5.4补偿调节：全矩阵荧光补偿，可脱机补偿，自动补偿。支持补偿库功能，可以存储多色实验中荧光染料的溢出值；在新的实验中，可以调用库中任一补偿值组合成新的补偿矩阵，不用再新建单标管上样调补偿。</w:t>
      </w:r>
    </w:p>
    <w:p>
      <w:pPr>
        <w:pStyle w:val="null3"/>
        <w:spacing w:before="105"/>
      </w:pPr>
      <w:r>
        <w:rPr>
          <w:rFonts w:ascii="宋体" w:hAnsi="宋体" w:cs="宋体" w:eastAsia="宋体"/>
          <w:sz w:val="24"/>
        </w:rPr>
        <w:t>5.5电压支持手动调节及自动调节，当电压改动后，补偿值会随之自动调整到正确的结果。</w:t>
      </w:r>
    </w:p>
    <w:p>
      <w:pPr>
        <w:pStyle w:val="null3"/>
        <w:spacing w:before="105"/>
        <w:jc w:val="both"/>
      </w:pPr>
      <w:r>
        <w:rPr>
          <w:rFonts w:ascii="宋体" w:hAnsi="宋体" w:cs="宋体" w:eastAsia="宋体"/>
          <w:sz w:val="24"/>
        </w:rPr>
        <w:t>5.6基本分析软件功能：具备直方图及散点图形叠加功能；具备细胞绝对数分析、IQ自动GATE分析、伪彩色图分析、RATIO分析、去粘连分析功能。</w:t>
      </w:r>
    </w:p>
    <w:p>
      <w:pPr>
        <w:pStyle w:val="null3"/>
        <w:spacing w:before="105"/>
        <w:jc w:val="both"/>
      </w:pPr>
      <w:r>
        <w:rPr>
          <w:rFonts w:ascii="宋体" w:hAnsi="宋体" w:cs="宋体" w:eastAsia="宋体"/>
          <w:sz w:val="24"/>
        </w:rPr>
        <w:t>5.7软件分析报告：可导出PDF、电子表格、矢量图等多种文件格式，具有层级关系分析报告功能，能将所有荧光参数表达结果的各种组合全部显示在一张图上，具有批量处理报告的功能。</w:t>
      </w:r>
    </w:p>
    <w:p>
      <w:pPr>
        <w:pStyle w:val="null3"/>
        <w:spacing w:before="105"/>
        <w:jc w:val="both"/>
      </w:pPr>
      <w:r>
        <w:rPr>
          <w:rFonts w:ascii="宋体" w:hAnsi="宋体" w:cs="宋体" w:eastAsia="宋体"/>
          <w:sz w:val="24"/>
          <w:b/>
        </w:rPr>
        <w:t>6、其他配置：</w:t>
      </w:r>
    </w:p>
    <w:p>
      <w:pPr>
        <w:pStyle w:val="null3"/>
        <w:spacing w:before="105"/>
        <w:jc w:val="both"/>
      </w:pPr>
      <w:r>
        <w:rPr>
          <w:rFonts w:ascii="宋体" w:hAnsi="宋体" w:cs="宋体" w:eastAsia="宋体"/>
          <w:sz w:val="24"/>
        </w:rPr>
        <w:t>6.1 windows 7或更高版本操作系统电脑工作站</w:t>
      </w:r>
      <w:r>
        <w:rPr/>
        <w:t xml:space="preserve"> </w:t>
      </w:r>
      <w:r>
        <w:rPr>
          <w:rFonts w:ascii="宋体" w:hAnsi="宋体" w:cs="宋体" w:eastAsia="宋体"/>
          <w:sz w:val="24"/>
        </w:rPr>
        <w:t>1个。</w:t>
      </w:r>
    </w:p>
    <w:p>
      <w:pPr>
        <w:pStyle w:val="null3"/>
        <w:spacing w:before="105"/>
        <w:jc w:val="both"/>
      </w:pPr>
      <w:r>
        <w:rPr>
          <w:rFonts w:ascii="宋体" w:hAnsi="宋体" w:cs="宋体" w:eastAsia="宋体"/>
          <w:sz w:val="24"/>
        </w:rPr>
        <w:t>6.2自动上样器  1台。</w:t>
      </w:r>
    </w:p>
    <w:p>
      <w:pPr>
        <w:pStyle w:val="null3"/>
        <w:spacing w:before="105"/>
        <w:jc w:val="both"/>
      </w:pPr>
      <w:r>
        <w:rPr>
          <w:rFonts w:ascii="宋体" w:hAnsi="宋体" w:cs="宋体" w:eastAsia="宋体"/>
          <w:sz w:val="24"/>
        </w:rPr>
        <w:t>6.3 流式细胞仪（3激光管13色） 1台。</w:t>
      </w:r>
    </w:p>
    <w:p>
      <w:pPr>
        <w:pStyle w:val="null3"/>
        <w:spacing w:before="105"/>
        <w:jc w:val="both"/>
      </w:pPr>
      <w:r>
        <w:rPr>
          <w:rFonts w:ascii="宋体" w:hAnsi="宋体" w:cs="宋体" w:eastAsia="宋体"/>
          <w:sz w:val="24"/>
        </w:rPr>
        <w:t>6.4 流式控制软件</w:t>
      </w:r>
      <w:r>
        <w:rPr/>
        <w:t xml:space="preserve"> </w:t>
      </w:r>
      <w:r>
        <w:rPr>
          <w:rFonts w:ascii="宋体" w:hAnsi="宋体" w:cs="宋体" w:eastAsia="宋体"/>
          <w:sz w:val="24"/>
        </w:rPr>
        <w:t>1套。</w:t>
      </w:r>
    </w:p>
    <w:p>
      <w:pPr>
        <w:pStyle w:val="null3"/>
        <w:spacing w:before="105"/>
        <w:jc w:val="both"/>
      </w:pPr>
      <w:r>
        <w:rPr>
          <w:rFonts w:ascii="宋体" w:hAnsi="宋体" w:cs="宋体" w:eastAsia="宋体"/>
          <w:sz w:val="24"/>
        </w:rPr>
        <w:t>6.5 流式分析软件 1套。</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自合同签订之日起15日内</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福建省福州结核病防治院</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经采购人验收合格后交付使用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1、期次1，说明：按招标文件、投标文件以及国家和行业验收规范要求及合同中的相关条款进行验收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1、全部货物交货安装调试完毕并验收合格后，达到付款条件起60日内，支付合同总金额的90.00%</w:t>
            </w:r>
          </w:p>
          <w:p>
            <w:pPr>
              <w:pStyle w:val="null3"/>
              <w:jc w:val="both"/>
            </w:pPr>
            <w:r>
              <w:rPr/>
              <w:t>2、设备运行一年后无质量及售后服务等问题，达到付款条件起30日内，支付合同总金额的10.00%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不缴纳</w:t>
            </w:r>
          </w:p>
        </w:tc>
      </w:tr>
    </w:tbl>
    <w:p>
      <w:pPr>
        <w:pStyle w:val="null3"/>
        <w:jc w:val="left"/>
      </w:pPr>
      <w:r>
        <w:rPr/>
        <w:t>其他商务要求</w:t>
      </w:r>
    </w:p>
    <w:p>
      <w:pPr>
        <w:pStyle w:val="null3"/>
        <w:ind w:firstLine="480"/>
        <w:jc w:val="left"/>
      </w:pPr>
      <w:r>
        <w:rPr>
          <w:rFonts w:ascii="宋体" w:hAnsi="宋体" w:cs="宋体" w:eastAsia="宋体"/>
          <w:sz w:val="24"/>
          <w:b/>
          <w:shd w:fill="FFFFFF" w:val="clear"/>
        </w:rPr>
        <w:t>★以下商务要求为不允许负偏离的实质性要求</w:t>
      </w:r>
    </w:p>
    <w:p>
      <w:pPr>
        <w:pStyle w:val="null3"/>
        <w:ind w:firstLine="480"/>
        <w:jc w:val="left"/>
      </w:pPr>
      <w:r>
        <w:rPr>
          <w:rFonts w:ascii="宋体" w:hAnsi="宋体" w:cs="宋体" w:eastAsia="宋体"/>
          <w:sz w:val="24"/>
          <w:color w:val="000000"/>
        </w:rPr>
        <w:t>8、安装与验收</w:t>
      </w:r>
    </w:p>
    <w:p>
      <w:pPr>
        <w:pStyle w:val="null3"/>
        <w:ind w:firstLine="480"/>
        <w:jc w:val="left"/>
      </w:pPr>
      <w:r>
        <w:rPr>
          <w:rFonts w:ascii="宋体" w:hAnsi="宋体" w:cs="宋体" w:eastAsia="宋体"/>
          <w:sz w:val="24"/>
          <w:color w:val="000000"/>
        </w:rPr>
        <w:t>8.1安装</w:t>
      </w:r>
    </w:p>
    <w:p>
      <w:pPr>
        <w:pStyle w:val="null3"/>
        <w:ind w:firstLine="480"/>
        <w:jc w:val="left"/>
      </w:pPr>
      <w:r>
        <w:rPr>
          <w:rFonts w:ascii="宋体" w:hAnsi="宋体" w:cs="宋体" w:eastAsia="宋体"/>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宋体" w:hAnsi="宋体" w:cs="宋体" w:eastAsia="宋体"/>
          <w:sz w:val="24"/>
          <w:color w:val="000000"/>
        </w:rPr>
        <w:t>8.1.2货物的装卸、运输和堆放均应做到安全、规范，如有破损应及时修复或调换。</w:t>
      </w:r>
    </w:p>
    <w:p>
      <w:pPr>
        <w:pStyle w:val="null3"/>
        <w:ind w:firstLine="480"/>
        <w:jc w:val="left"/>
      </w:pPr>
      <w:r>
        <w:rPr>
          <w:rFonts w:ascii="宋体" w:hAnsi="宋体" w:cs="宋体" w:eastAsia="宋体"/>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宋体" w:hAnsi="宋体" w:cs="宋体" w:eastAsia="宋体"/>
          <w:sz w:val="24"/>
          <w:color w:val="000000"/>
        </w:rPr>
        <w:t>8.1.4在安装过程中，安装人员应严格按照国家有关的操作规程和规范，确保安装牢固，安全可靠。</w:t>
      </w:r>
    </w:p>
    <w:p>
      <w:pPr>
        <w:pStyle w:val="null3"/>
        <w:ind w:firstLine="480"/>
        <w:jc w:val="left"/>
      </w:pPr>
      <w:r>
        <w:rPr>
          <w:rFonts w:ascii="宋体" w:hAnsi="宋体" w:cs="宋体" w:eastAsia="宋体"/>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宋体" w:hAnsi="宋体" w:cs="宋体" w:eastAsia="宋体"/>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宋体" w:hAnsi="宋体" w:cs="宋体" w:eastAsia="宋体"/>
          <w:sz w:val="24"/>
          <w:color w:val="000000"/>
        </w:rPr>
        <w:t>8.1.7安装过程中，严格按照服务内容完成实施，要求保证医院各项业务系统的持续运行，医院业务数据不丢失，否则由中标任承担全部责任；</w:t>
      </w:r>
    </w:p>
    <w:p>
      <w:pPr>
        <w:pStyle w:val="null3"/>
        <w:ind w:firstLine="480"/>
        <w:jc w:val="left"/>
      </w:pPr>
      <w:r>
        <w:rPr>
          <w:rFonts w:ascii="宋体" w:hAnsi="宋体" w:cs="宋体" w:eastAsia="宋体"/>
          <w:sz w:val="24"/>
          <w:color w:val="000000"/>
        </w:rPr>
        <w:t>8.1.8合同签订后，中标人须将安装所需的水、电、气及其他要求书面通知采购人。</w:t>
      </w:r>
    </w:p>
    <w:p>
      <w:pPr>
        <w:pStyle w:val="null3"/>
        <w:ind w:firstLine="480"/>
        <w:jc w:val="left"/>
      </w:pPr>
      <w:r>
        <w:rPr>
          <w:rFonts w:ascii="宋体" w:hAnsi="宋体" w:cs="宋体" w:eastAsia="宋体"/>
          <w:sz w:val="24"/>
          <w:color w:val="000000"/>
        </w:rPr>
        <w:t>8.1.9中标人应组织专业技术人员进行货物安装调试，采购人提供安装所必须的基本条件，保证各项安装工作顺利进行。在货物运抵现场一周前，为</w:t>
      </w:r>
      <w:r>
        <w:rPr>
          <w:rFonts w:ascii="宋体" w:hAnsi="宋体" w:cs="宋体" w:eastAsia="宋体"/>
          <w:sz w:val="24"/>
          <w:color w:val="000000"/>
        </w:rPr>
        <w:t>采购人</w:t>
      </w:r>
      <w:r>
        <w:rPr>
          <w:rFonts w:ascii="宋体" w:hAnsi="宋体" w:cs="宋体" w:eastAsia="宋体"/>
          <w:sz w:val="24"/>
          <w:color w:val="000000"/>
        </w:rPr>
        <w:t>提供详细的实验室准备条件，指导</w:t>
      </w:r>
      <w:r>
        <w:rPr>
          <w:rFonts w:ascii="宋体" w:hAnsi="宋体" w:cs="宋体" w:eastAsia="宋体"/>
          <w:sz w:val="24"/>
          <w:color w:val="000000"/>
        </w:rPr>
        <w:t>采购人</w:t>
      </w:r>
      <w:r>
        <w:rPr>
          <w:rFonts w:ascii="宋体" w:hAnsi="宋体" w:cs="宋体" w:eastAsia="宋体"/>
          <w:sz w:val="24"/>
          <w:color w:val="000000"/>
        </w:rPr>
        <w:t>布置实验室；为</w:t>
      </w:r>
      <w:r>
        <w:rPr>
          <w:rFonts w:ascii="宋体" w:hAnsi="宋体" w:cs="宋体" w:eastAsia="宋体"/>
          <w:sz w:val="24"/>
          <w:color w:val="000000"/>
        </w:rPr>
        <w:t>采购人</w:t>
      </w:r>
      <w:r>
        <w:rPr>
          <w:rFonts w:ascii="宋体" w:hAnsi="宋体" w:cs="宋体" w:eastAsia="宋体"/>
          <w:sz w:val="24"/>
          <w:color w:val="000000"/>
        </w:rPr>
        <w:t>提供详细的产品信息，在接到</w:t>
      </w:r>
      <w:r>
        <w:rPr>
          <w:rFonts w:ascii="宋体" w:hAnsi="宋体" w:cs="宋体" w:eastAsia="宋体"/>
          <w:sz w:val="24"/>
          <w:color w:val="000000"/>
        </w:rPr>
        <w:t>采购人</w:t>
      </w:r>
      <w:r>
        <w:rPr>
          <w:rFonts w:ascii="宋体" w:hAnsi="宋体" w:cs="宋体" w:eastAsia="宋体"/>
          <w:sz w:val="24"/>
          <w:color w:val="000000"/>
        </w:rPr>
        <w:t>通知</w:t>
      </w:r>
      <w:r>
        <w:rPr>
          <w:rFonts w:ascii="宋体" w:hAnsi="宋体" w:cs="宋体" w:eastAsia="宋体"/>
          <w:sz w:val="24"/>
          <w:color w:val="000000"/>
        </w:rPr>
        <w:t>3天内派技术人员到现场进行安装，并负责调试至验收合格。工程师在进行安装、调试期间所发生的费用全由中标</w:t>
      </w:r>
      <w:r>
        <w:rPr>
          <w:rFonts w:ascii="宋体" w:hAnsi="宋体" w:cs="宋体" w:eastAsia="宋体"/>
          <w:sz w:val="24"/>
          <w:color w:val="000000"/>
        </w:rPr>
        <w:t>人</w:t>
      </w:r>
      <w:r>
        <w:rPr>
          <w:rFonts w:ascii="宋体" w:hAnsi="宋体" w:cs="宋体" w:eastAsia="宋体"/>
          <w:sz w:val="24"/>
          <w:color w:val="000000"/>
        </w:rPr>
        <w:t>承担。并保证在合同规定的安装调试期内完成该项工作。</w:t>
      </w:r>
    </w:p>
    <w:p>
      <w:pPr>
        <w:pStyle w:val="null3"/>
        <w:ind w:firstLine="480"/>
        <w:jc w:val="left"/>
      </w:pPr>
      <w:r>
        <w:rPr>
          <w:rFonts w:ascii="宋体" w:hAnsi="宋体" w:cs="宋体" w:eastAsia="宋体"/>
          <w:sz w:val="24"/>
          <w:color w:val="000000"/>
        </w:rPr>
        <w:t>8.1.10中标人应在合同签订时向采购人提供安装、调试及试运行的进度计划表。</w:t>
      </w:r>
    </w:p>
    <w:p>
      <w:pPr>
        <w:pStyle w:val="null3"/>
        <w:ind w:firstLine="480"/>
        <w:jc w:val="left"/>
      </w:pPr>
      <w:r>
        <w:rPr>
          <w:rFonts w:ascii="宋体" w:hAnsi="宋体" w:cs="宋体" w:eastAsia="宋体"/>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宋体" w:hAnsi="宋体" w:cs="宋体" w:eastAsia="宋体"/>
          <w:sz w:val="24"/>
          <w:color w:val="000000"/>
        </w:rPr>
        <w:t>8.2验收</w:t>
      </w:r>
    </w:p>
    <w:p>
      <w:pPr>
        <w:pStyle w:val="null3"/>
        <w:ind w:firstLine="480"/>
        <w:jc w:val="left"/>
      </w:pPr>
      <w:r>
        <w:rPr>
          <w:rFonts w:ascii="宋体" w:hAnsi="宋体" w:cs="宋体" w:eastAsia="宋体"/>
          <w:sz w:val="24"/>
          <w:color w:val="000000"/>
        </w:rPr>
        <w:t>8.2.1验收应按照本合同附件的所有文件的规定或约定进行，具体如下：</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3）进口商检（若有）：若进口货物中标人应提供进口的有关证明，包括货物的产地、品牌及装运港等证明材料；</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4）到货验收：货物送至采购人安装现场后，中标人和采购人一同拆箱，对其全部货物、零件、配件的型号、规格、数量、外型、外观、包装并依据货物装箱单、出厂检验报告、合格证等进行清点检查，对用户许可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6）最终验收：设备安装、调试结束后中标人负责并会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left"/>
      </w:pPr>
      <w:r>
        <w:rPr>
          <w:rFonts w:ascii="宋体" w:hAnsi="宋体" w:cs="宋体" w:eastAsia="宋体"/>
          <w:sz w:val="24"/>
          <w:color w:val="000000"/>
        </w:rPr>
        <w:t>8.2.2本项目是否邀请其他投标人参与验收：不邀请。</w:t>
      </w:r>
    </w:p>
    <w:p>
      <w:pPr>
        <w:pStyle w:val="null3"/>
        <w:ind w:firstLine="480"/>
        <w:jc w:val="left"/>
      </w:pPr>
      <w:r>
        <w:rPr>
          <w:rFonts w:ascii="宋体" w:hAnsi="宋体" w:cs="宋体" w:eastAsia="宋体"/>
          <w:sz w:val="24"/>
          <w:color w:val="000000"/>
        </w:rPr>
        <w:t>8.2.3各投标人可视自身能力在投标文件中提供更优、更合理的维修服务承诺。</w:t>
      </w:r>
    </w:p>
    <w:p>
      <w:pPr>
        <w:pStyle w:val="null3"/>
        <w:ind w:firstLine="480"/>
        <w:jc w:val="left"/>
      </w:pPr>
      <w:r>
        <w:rPr>
          <w:rFonts w:ascii="宋体" w:hAnsi="宋体" w:cs="宋体" w:eastAsia="宋体"/>
          <w:sz w:val="24"/>
          <w:color w:val="000000"/>
        </w:rPr>
        <w:t>9、售后服务</w:t>
      </w:r>
    </w:p>
    <w:p>
      <w:pPr>
        <w:pStyle w:val="null3"/>
        <w:ind w:firstLine="480"/>
        <w:jc w:val="left"/>
      </w:pPr>
      <w:r>
        <w:rPr>
          <w:rFonts w:ascii="宋体" w:hAnsi="宋体" w:cs="宋体" w:eastAsia="宋体"/>
          <w:sz w:val="24"/>
          <w:color w:val="000000"/>
        </w:rPr>
        <w:t>9.1</w:t>
      </w:r>
      <w:r>
        <w:rPr>
          <w:rFonts w:ascii="宋体" w:hAnsi="宋体" w:cs="宋体" w:eastAsia="宋体"/>
          <w:sz w:val="24"/>
          <w:b/>
          <w:color w:val="000000"/>
        </w:rPr>
        <w:t>本产品质保期不少于三年</w:t>
      </w:r>
      <w:r>
        <w:rPr>
          <w:rFonts w:ascii="宋体" w:hAnsi="宋体" w:cs="宋体" w:eastAsia="宋体"/>
          <w:sz w:val="24"/>
          <w:color w:val="000000"/>
        </w:rPr>
        <w:t>。质保期内不收取任何费用；质保期外不收取任何维修费用、差旅费，仅收取配件费。</w:t>
      </w:r>
    </w:p>
    <w:p>
      <w:pPr>
        <w:pStyle w:val="null3"/>
        <w:ind w:firstLine="480"/>
        <w:jc w:val="left"/>
      </w:pPr>
      <w:r>
        <w:rPr>
          <w:rFonts w:ascii="宋体" w:hAnsi="宋体" w:cs="宋体" w:eastAsia="宋体"/>
          <w:sz w:val="24"/>
          <w:color w:val="000000"/>
        </w:rPr>
        <w:t>9.2中标人提供质保期内成套设备免费保修服务，并为产品提供终生维修服务。</w:t>
      </w:r>
    </w:p>
    <w:p>
      <w:pPr>
        <w:pStyle w:val="null3"/>
        <w:ind w:firstLine="480"/>
        <w:jc w:val="left"/>
      </w:pPr>
      <w:r>
        <w:rPr>
          <w:rFonts w:ascii="宋体" w:hAnsi="宋体" w:cs="宋体" w:eastAsia="宋体"/>
          <w:sz w:val="24"/>
          <w:color w:val="000000"/>
        </w:rPr>
        <w:t>9.2.1中标人保证产品在国内有售后服务维修站，具备400或800售后电话，设有备品配件（包括线路板、日常使用耗材等）库，有固定的设备维修工程师。中标人应快捷地提供全程的售前、售后、服务工作。</w:t>
      </w:r>
    </w:p>
    <w:p>
      <w:pPr>
        <w:pStyle w:val="null3"/>
        <w:ind w:firstLine="480"/>
        <w:jc w:val="left"/>
      </w:pPr>
      <w:r>
        <w:rPr>
          <w:rFonts w:ascii="宋体" w:hAnsi="宋体" w:cs="宋体" w:eastAsia="宋体"/>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宋体" w:hAnsi="宋体" w:cs="宋体" w:eastAsia="宋体"/>
          <w:sz w:val="24"/>
          <w:color w:val="000000"/>
        </w:rPr>
        <w:t>9.2.3保修期内出现产品质量问题中标人应无条件保修。保修期内中标人可采取远程诊断，指导采购人现场工作人员进行免责简单维修。</w:t>
      </w:r>
    </w:p>
    <w:p>
      <w:pPr>
        <w:pStyle w:val="null3"/>
        <w:ind w:firstLine="480"/>
        <w:jc w:val="left"/>
      </w:pPr>
      <w:r>
        <w:rPr>
          <w:rFonts w:ascii="宋体" w:hAnsi="宋体" w:cs="宋体" w:eastAsia="宋体"/>
          <w:sz w:val="24"/>
          <w:color w:val="000000"/>
        </w:rPr>
        <w:t>9.2.4保修期内采购人报修的，中标人响应时间2小时，到场时间6小时（如遇不可抗拒力量顺延），如有需要零配件或耗材则所需物品到场时间为24小时，否则采购人可以按延误时间双倍延长保修期。中标人维修完成后应及时填写维修报告（包括故障原因、处理情况及采购人意见等）报采购人备案。</w:t>
      </w:r>
    </w:p>
    <w:p>
      <w:pPr>
        <w:pStyle w:val="null3"/>
        <w:ind w:firstLine="480"/>
        <w:jc w:val="left"/>
      </w:pPr>
      <w:r>
        <w:rPr>
          <w:rFonts w:ascii="宋体" w:hAnsi="宋体" w:cs="宋体" w:eastAsia="宋体"/>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宋体" w:hAnsi="宋体" w:cs="宋体" w:eastAsia="宋体"/>
          <w:sz w:val="24"/>
          <w:color w:val="000000"/>
        </w:rPr>
        <w:t>9.2.6保修期内中标人应提供详细的年度定期预防性维护保养计划。</w:t>
      </w:r>
    </w:p>
    <w:p>
      <w:pPr>
        <w:pStyle w:val="null3"/>
        <w:ind w:firstLine="480"/>
        <w:jc w:val="left"/>
      </w:pPr>
      <w:r>
        <w:rPr>
          <w:rFonts w:ascii="宋体" w:hAnsi="宋体" w:cs="宋体" w:eastAsia="宋体"/>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宋体" w:hAnsi="宋体" w:cs="宋体" w:eastAsia="宋体"/>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宋体" w:hAnsi="宋体" w:cs="宋体" w:eastAsia="宋体"/>
          <w:sz w:val="24"/>
          <w:color w:val="000000"/>
        </w:rPr>
        <w:t>9.4免费保修即将到期前，中标人需对设备做全面巡检保养，保证设备的正常工作状态，并完成巡检报告交院方存档。</w:t>
      </w:r>
    </w:p>
    <w:p>
      <w:pPr>
        <w:pStyle w:val="null3"/>
        <w:ind w:firstLine="480"/>
        <w:jc w:val="left"/>
      </w:pPr>
      <w:r>
        <w:rPr>
          <w:rFonts w:ascii="宋体" w:hAnsi="宋体" w:cs="宋体" w:eastAsia="宋体"/>
          <w:sz w:val="24"/>
          <w:color w:val="000000"/>
        </w:rPr>
        <w:t>9.5保修期满后，中标人负责仪器的终身维修并应继续提供优惠、优质的服务，报修响应时间2小时，到场时间8小时。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宋体" w:hAnsi="宋体" w:cs="宋体" w:eastAsia="宋体"/>
          <w:sz w:val="24"/>
          <w:color w:val="000000"/>
        </w:rPr>
        <w:t>9.6中标人及时免费提供设备的软件升级版本，包括质控软件、分析软件。中标人及时免费提供设备使用和维护技术方面的信息。中标人向采购人提供以下有关设备的软、硬件技术资料（若有）：(1)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宋体" w:hAnsi="宋体" w:cs="宋体" w:eastAsia="宋体"/>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宋体" w:hAnsi="宋体" w:cs="宋体" w:eastAsia="宋体"/>
          <w:sz w:val="24"/>
          <w:color w:val="000000"/>
        </w:rPr>
        <w:t>9.8中标人的所有售后服务行为都不得将设备上的采购人客户信息资料泄漏，否则一切法律和经济后果由中标人承担。</w:t>
      </w:r>
    </w:p>
    <w:p>
      <w:pPr>
        <w:pStyle w:val="null3"/>
        <w:ind w:firstLine="480"/>
        <w:jc w:val="left"/>
      </w:pPr>
      <w:r>
        <w:rPr>
          <w:rFonts w:ascii="宋体" w:hAnsi="宋体" w:cs="宋体" w:eastAsia="宋体"/>
          <w:sz w:val="24"/>
          <w:color w:val="000000"/>
        </w:rPr>
        <w:t>10、违约责任</w:t>
      </w:r>
    </w:p>
    <w:p>
      <w:pPr>
        <w:pStyle w:val="null3"/>
        <w:ind w:firstLine="480"/>
        <w:jc w:val="left"/>
      </w:pPr>
      <w:r>
        <w:rPr>
          <w:rFonts w:ascii="宋体" w:hAnsi="宋体" w:cs="宋体" w:eastAsia="宋体"/>
          <w:sz w:val="24"/>
          <w:color w:val="000000"/>
        </w:rPr>
        <w:t>甲方：采购人；乙方：中标人</w:t>
      </w:r>
    </w:p>
    <w:p>
      <w:pPr>
        <w:pStyle w:val="null3"/>
        <w:ind w:firstLine="480"/>
        <w:jc w:val="left"/>
      </w:pPr>
      <w:r>
        <w:rPr>
          <w:rFonts w:ascii="宋体" w:hAnsi="宋体" w:cs="宋体" w:eastAsia="宋体"/>
          <w:sz w:val="24"/>
          <w:color w:val="000000"/>
        </w:rPr>
        <w:t>10.1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left"/>
      </w:pPr>
      <w:r>
        <w:rPr>
          <w:rFonts w:ascii="宋体" w:hAnsi="宋体" w:cs="宋体" w:eastAsia="宋体"/>
          <w:sz w:val="24"/>
          <w:color w:val="000000"/>
        </w:rPr>
        <w:t>10.2因乙方原因造成采购合同无法按时签订，视为乙方违约，乙方违约对甲方造成的损失的，乙方需另行按照本合同总价30%的比例向甲方支付赔偿金。</w:t>
      </w:r>
    </w:p>
    <w:p>
      <w:pPr>
        <w:pStyle w:val="null3"/>
        <w:ind w:firstLine="480"/>
        <w:jc w:val="left"/>
      </w:pPr>
      <w:r>
        <w:rPr>
          <w:rFonts w:ascii="宋体" w:hAnsi="宋体" w:cs="宋体" w:eastAsia="宋体"/>
          <w:sz w:val="24"/>
          <w:color w:val="000000"/>
        </w:rPr>
        <w:t>10.3在签定采购合同之后，乙方要求解除合同的，视为乙方违约，对甲方造成的损失的，乙方需另行按照本合同总价30%的比例向甲方支付赔偿金。</w:t>
      </w:r>
    </w:p>
    <w:p>
      <w:pPr>
        <w:pStyle w:val="null3"/>
        <w:ind w:firstLine="480"/>
        <w:jc w:val="left"/>
      </w:pPr>
      <w:r>
        <w:rPr>
          <w:rFonts w:ascii="宋体" w:hAnsi="宋体" w:cs="宋体" w:eastAsia="宋体"/>
          <w:sz w:val="24"/>
          <w:color w:val="000000"/>
        </w:rPr>
        <w:t>10.4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left"/>
      </w:pPr>
      <w:r>
        <w:rPr>
          <w:rFonts w:ascii="宋体" w:hAnsi="宋体" w:cs="宋体" w:eastAsia="宋体"/>
          <w:sz w:val="24"/>
          <w:color w:val="000000"/>
        </w:rPr>
        <w:t>10.5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left"/>
      </w:pPr>
      <w:r>
        <w:rPr>
          <w:rFonts w:ascii="宋体" w:hAnsi="宋体" w:cs="宋体" w:eastAsia="宋体"/>
          <w:sz w:val="24"/>
          <w:color w:val="000000"/>
        </w:rPr>
        <w:t>10.6甲方有权在未付尾款中直接扣减乙方应付违约金。尾款不足以支付违约金的，甲方有权提出追索和索赔。</w:t>
      </w:r>
    </w:p>
    <w:p>
      <w:pPr>
        <w:pStyle w:val="null3"/>
        <w:ind w:firstLine="480"/>
        <w:jc w:val="left"/>
      </w:pPr>
      <w:r>
        <w:rPr>
          <w:rFonts w:ascii="宋体" w:hAnsi="宋体" w:cs="宋体" w:eastAsia="宋体"/>
          <w:sz w:val="24"/>
          <w:color w:val="000000"/>
        </w:rPr>
        <w:t>10.7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left"/>
      </w:pPr>
      <w:r>
        <w:rPr>
          <w:rFonts w:ascii="宋体" w:hAnsi="宋体" w:cs="宋体" w:eastAsia="宋体"/>
          <w:sz w:val="24"/>
          <w:color w:val="000000"/>
        </w:rPr>
        <w:t>10.8因乙方原因发生重大质量事故，除依约承担赔偿责任外，还将按有关质量管理办法规定执行。同时，甲方有权保留更换乙方的权利，并报相关行政主管部门处罚。</w:t>
      </w:r>
    </w:p>
    <w:p>
      <w:pPr>
        <w:pStyle w:val="null3"/>
        <w:ind w:firstLine="480"/>
        <w:jc w:val="left"/>
      </w:pPr>
      <w:r>
        <w:rPr>
          <w:rFonts w:ascii="宋体" w:hAnsi="宋体" w:cs="宋体" w:eastAsia="宋体"/>
          <w:sz w:val="24"/>
          <w:color w:val="000000"/>
        </w:rPr>
        <w:t>10.9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left"/>
      </w:pPr>
      <w:r>
        <w:rPr>
          <w:rFonts w:ascii="宋体" w:hAnsi="宋体" w:cs="宋体" w:eastAsia="宋体"/>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宋体" w:hAnsi="宋体" w:cs="宋体" w:eastAsia="宋体"/>
          <w:sz w:val="24"/>
          <w:color w:val="000000"/>
        </w:rPr>
        <w:t>11、知识产权</w:t>
      </w:r>
    </w:p>
    <w:p>
      <w:pPr>
        <w:pStyle w:val="null3"/>
        <w:ind w:firstLine="480"/>
        <w:jc w:val="left"/>
      </w:pPr>
      <w:r>
        <w:rPr>
          <w:rFonts w:ascii="宋体" w:hAnsi="宋体" w:cs="宋体" w:eastAsia="宋体"/>
          <w:sz w:val="24"/>
          <w:color w:val="000000"/>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null3"/>
        <w:ind w:firstLine="480"/>
        <w:jc w:val="left"/>
      </w:pPr>
      <w:r>
        <w:rPr>
          <w:rFonts w:ascii="宋体" w:hAnsi="宋体" w:cs="宋体" w:eastAsia="宋体"/>
          <w:sz w:val="24"/>
          <w:color w:val="000000"/>
        </w:rPr>
        <w:t>乙方应保证其能合法获得生产厂家有效期内的高级故障诊断软件及维修密码，并保证不违反国家有关知识产权的法律规定。因乙方行为造成的知识产权纠纷，乙方应与第三方交涉，并承担可能发生的一切法律责任、费用和后果；若甲方因此而遭致损失，则乙方应赔偿该损失。</w:t>
      </w:r>
    </w:p>
    <w:p>
      <w:pPr>
        <w:pStyle w:val="null3"/>
        <w:ind w:firstLine="480"/>
        <w:jc w:val="left"/>
      </w:pPr>
      <w:r>
        <w:rPr>
          <w:rFonts w:ascii="宋体" w:hAnsi="宋体" w:cs="宋体" w:eastAsia="宋体"/>
          <w:sz w:val="24"/>
          <w:color w:val="000000"/>
        </w:rPr>
        <w:t>11.2若乙方提供的采购标的不符合国家知识产权法律、法规的规定或被有关主管机关认定为假冒伪劣品，则乙方中标资格将被取消；甲方还将按照有关法律、法规和规章的规定进行处理。</w:t>
      </w:r>
    </w:p>
    <w:p>
      <w:pPr>
        <w:pStyle w:val="null3"/>
        <w:ind w:firstLine="480"/>
        <w:jc w:val="left"/>
      </w:pPr>
      <w:r>
        <w:rPr>
          <w:rFonts w:ascii="宋体" w:hAnsi="宋体" w:cs="宋体" w:eastAsia="宋体"/>
          <w:sz w:val="24"/>
          <w:color w:val="000000"/>
        </w:rPr>
        <w:t>11.3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left"/>
      </w:pPr>
      <w:r>
        <w:rPr>
          <w:rFonts w:ascii="宋体" w:hAnsi="宋体" w:cs="宋体" w:eastAsia="宋体"/>
          <w:sz w:val="24"/>
          <w:color w:val="000000"/>
        </w:rPr>
        <w:t>若乙方违反本条</w:t>
      </w:r>
      <w:r>
        <w:rPr>
          <w:rFonts w:ascii="宋体" w:hAnsi="宋体" w:cs="宋体" w:eastAsia="宋体"/>
          <w:sz w:val="24"/>
          <w:color w:val="000000"/>
        </w:rPr>
        <w:t>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left"/>
      </w:pPr>
      <w:r>
        <w:rPr>
          <w:rFonts w:ascii="宋体" w:hAnsi="宋体" w:cs="宋体" w:eastAsia="宋体"/>
          <w:sz w:val="24"/>
          <w:color w:val="000000"/>
        </w:rPr>
        <w:t>12、解决争议的方法</w:t>
      </w:r>
    </w:p>
    <w:p>
      <w:pPr>
        <w:pStyle w:val="null3"/>
        <w:ind w:firstLine="480"/>
        <w:jc w:val="left"/>
      </w:pPr>
      <w:r>
        <w:rPr>
          <w:rFonts w:ascii="宋体" w:hAnsi="宋体" w:cs="宋体" w:eastAsia="宋体"/>
          <w:sz w:val="24"/>
          <w:color w:val="000000"/>
        </w:rPr>
        <w:t>12.1甲、乙双方协商解决。</w:t>
      </w:r>
    </w:p>
    <w:p>
      <w:pPr>
        <w:pStyle w:val="null3"/>
        <w:ind w:firstLine="480"/>
        <w:jc w:val="left"/>
      </w:pPr>
      <w:r>
        <w:rPr>
          <w:rFonts w:ascii="宋体" w:hAnsi="宋体" w:cs="宋体" w:eastAsia="宋体"/>
          <w:sz w:val="24"/>
          <w:color w:val="000000"/>
        </w:rPr>
        <w:t>12.2若协商解决不成，则通过下列途径之一解决：</w:t>
      </w:r>
    </w:p>
    <w:p>
      <w:pPr>
        <w:pStyle w:val="null3"/>
        <w:ind w:firstLine="480"/>
        <w:jc w:val="left"/>
      </w:pPr>
      <w:r>
        <w:rPr>
          <w:rFonts w:ascii="宋体" w:hAnsi="宋体" w:cs="宋体" w:eastAsia="宋体"/>
          <w:sz w:val="24"/>
          <w:color w:val="000000"/>
        </w:rPr>
        <w:t>□提交仲裁委员会仲裁，具体如下：向 （甲方所在地）仲裁委员会申请仲裁。</w:t>
      </w:r>
    </w:p>
    <w:p>
      <w:pPr>
        <w:pStyle w:val="null3"/>
        <w:ind w:firstLine="480"/>
        <w:jc w:val="left"/>
      </w:pPr>
      <w:r>
        <w:rPr>
          <w:rFonts w:ascii="ms mincho" w:hAnsi="ms mincho" w:cs="ms mincho" w:eastAsia="ms mincho"/>
        </w:rPr>
        <w:t>☑</w:t>
      </w:r>
      <w:r>
        <w:rPr>
          <w:rFonts w:ascii="宋体" w:hAnsi="宋体" w:cs="宋体" w:eastAsia="宋体"/>
          <w:sz w:val="24"/>
          <w:color w:val="000000"/>
        </w:rPr>
        <w:t>向人民法院提起诉讼，具体如下：向有管辖权的人民法院提起诉讼。</w:t>
      </w:r>
    </w:p>
    <w:p>
      <w:pPr>
        <w:pStyle w:val="null3"/>
        <w:ind w:firstLine="480"/>
        <w:jc w:val="left"/>
      </w:pPr>
      <w:r>
        <w:rPr>
          <w:rFonts w:ascii="宋体" w:hAnsi="宋体" w:cs="宋体" w:eastAsia="宋体"/>
          <w:sz w:val="24"/>
          <w:color w:val="000000"/>
        </w:rPr>
        <w:t>13、不可抗力</w:t>
      </w:r>
    </w:p>
    <w:p>
      <w:pPr>
        <w:pStyle w:val="null3"/>
        <w:ind w:firstLine="480"/>
        <w:jc w:val="left"/>
      </w:pPr>
      <w:r>
        <w:rPr>
          <w:rFonts w:ascii="宋体" w:hAnsi="宋体" w:cs="宋体" w:eastAsia="宋体"/>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both"/>
      </w:pPr>
      <w:r>
        <w:rPr>
          <w:rFonts w:ascii="宋体" w:hAnsi="宋体" w:cs="宋体" w:eastAsia="宋体"/>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ind w:firstLine="480"/>
        <w:jc w:val="left"/>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[350101]GWCG[GK]2024008</w:t>
      </w:r>
    </w:p>
    <w:p>
      <w:pPr>
        <w:pStyle w:val="null3"/>
        <w:jc w:val="left"/>
      </w:pPr>
      <w:r>
        <w:rPr/>
        <w:t>项目名称：</w:t>
      </w:r>
      <w:r>
        <w:rPr/>
        <w:t>流式细胞仪</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流式细胞仪</w:t>
            </w:r>
          </w:p>
        </w:tc>
        <w:tc>
          <w:tcPr>
            <w:tcW w:type="dxa" w:w="1661"/>
          </w:tcPr>
          <w:p>
            <w:pPr>
              <w:pStyle w:val="null3"/>
              <w:jc w:val="left"/>
            </w:pPr>
            <w:r>
              <w:rPr/>
              <w:t xml:space="preserve"> 1600000.0000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[350101]GWCG[GK]2024008</w:t>
      </w:r>
    </w:p>
    <w:p>
      <w:pPr>
        <w:pStyle w:val="null3"/>
        <w:jc w:val="left"/>
      </w:pPr>
      <w:r>
        <w:rPr/>
        <w:t>项目名称：</w:t>
      </w:r>
      <w:r>
        <w:rPr/>
        <w:t>流式细胞仪</w:t>
      </w:r>
    </w:p>
    <w:p>
      <w:pPr>
        <w:pStyle w:val="null3"/>
        <w:jc w:val="left"/>
      </w:pPr>
      <w:r>
        <w:rPr/>
        <w:t xml:space="preserve"> 流式细胞仪</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货物名称</w:t>
            </w:r>
          </w:p>
        </w:tc>
        <w:tc>
          <w:tcPr>
            <w:tcW w:type="dxa" w:w="755"/>
          </w:tcPr>
          <w:p>
            <w:pPr>
              <w:pStyle w:val="null3"/>
              <w:jc w:val="left"/>
            </w:pPr>
            <w:r>
              <w:rPr/>
              <w:t xml:space="preserve"> 规格型号</w:t>
            </w:r>
          </w:p>
        </w:tc>
        <w:tc>
          <w:tcPr>
            <w:tcW w:type="dxa" w:w="755"/>
          </w:tcPr>
          <w:p>
            <w:pPr>
              <w:pStyle w:val="null3"/>
              <w:jc w:val="left"/>
            </w:pPr>
            <w:r>
              <w:rPr/>
              <w:t xml:space="preserve"> 品牌</w:t>
            </w:r>
          </w:p>
        </w:tc>
        <w:tc>
          <w:tcPr>
            <w:tcW w:type="dxa" w:w="755"/>
          </w:tcPr>
          <w:p>
            <w:pPr>
              <w:pStyle w:val="null3"/>
              <w:jc w:val="left"/>
            </w:pPr>
            <w:r>
              <w:rPr/>
              <w:t xml:space="preserve"> 制造商名称</w:t>
            </w:r>
          </w:p>
        </w:tc>
        <w:tc>
          <w:tcPr>
            <w:tcW w:type="dxa" w:w="755"/>
          </w:tcPr>
          <w:p>
            <w:pPr>
              <w:pStyle w:val="null3"/>
              <w:jc w:val="left"/>
            </w:pPr>
            <w:r>
              <w:rPr/>
              <w:t xml:space="preserve"> 产地</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流式细胞仪</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1600000.0000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台</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