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西门子PrismaMR磁共振机维保</w:t>
      </w:r>
    </w:p>
    <w:p>
      <w:pPr>
        <w:pStyle w:val="null3"/>
        <w:jc w:val="center"/>
        <w:outlineLvl w:val="2"/>
      </w:pPr>
      <w:r>
        <w:rPr>
          <w:sz w:val="28"/>
          <w:b/>
        </w:rPr>
        <w:t>备案编号：</w:t>
      </w:r>
      <w:r>
        <w:rPr>
          <w:sz w:val="28"/>
          <w:b/>
        </w:rPr>
        <w:t>CGXM-2024-350101-02060[2024]01477</w:t>
      </w:r>
    </w:p>
    <w:p>
      <w:pPr>
        <w:pStyle w:val="null3"/>
        <w:jc w:val="center"/>
        <w:outlineLvl w:val="2"/>
      </w:pPr>
      <w:r>
        <w:rPr>
          <w:sz w:val="28"/>
          <w:b/>
        </w:rPr>
        <w:t>项目编号：</w:t>
      </w:r>
      <w:r>
        <w:rPr>
          <w:sz w:val="28"/>
          <w:b/>
        </w:rPr>
        <w:t>[350101]LIXIN[GK]2024003</w:t>
      </w:r>
    </w:p>
    <w:p>
      <w:pPr>
        <w:pStyle w:val="null3"/>
        <w:jc w:val="center"/>
        <w:outlineLvl w:val="2"/>
      </w:pPr>
      <w:r>
        <w:rPr>
          <w:sz w:val="28"/>
          <w:b/>
        </w:rPr>
        <w:t>采购人：</w:t>
      </w:r>
      <w:r>
        <w:rPr>
          <w:sz w:val="28"/>
          <w:b/>
        </w:rPr>
        <w:t>福建省福州结核病防治院</w:t>
      </w:r>
    </w:p>
    <w:p>
      <w:pPr>
        <w:pStyle w:val="null3"/>
        <w:jc w:val="center"/>
        <w:outlineLvl w:val="2"/>
      </w:pPr>
      <w:r>
        <w:rPr>
          <w:sz w:val="28"/>
          <w:b/>
        </w:rPr>
        <w:t>代理机构：</w:t>
      </w:r>
      <w:r>
        <w:rPr>
          <w:sz w:val="28"/>
          <w:b/>
        </w:rPr>
        <w:t>福建立欣项目管理有限公司</w:t>
      </w:r>
    </w:p>
    <w:p>
      <w:pPr>
        <w:pStyle w:val="null3"/>
        <w:jc w:val="center"/>
        <w:outlineLvl w:val="2"/>
      </w:pPr>
      <w:r>
        <w:rPr>
          <w:sz w:val="28"/>
          <w:b/>
        </w:rPr>
        <w:t>编制时间</w:t>
      </w:r>
      <w:r>
        <w:rPr>
          <w:sz w:val="28"/>
          <w:b/>
        </w:rPr>
        <w:t>：</w:t>
      </w:r>
      <w:r>
        <w:rPr>
          <w:sz w:val="28"/>
          <w:b/>
        </w:rPr>
        <w:t>2024年07月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福建立欣项目管理有限公司</w:t>
      </w:r>
      <w:r>
        <w:rPr/>
        <w:t xml:space="preserve"> 采用公开招标方式组织 </w:t>
      </w:r>
      <w:r>
        <w:rPr/>
        <w:t>西门子PrismaMR磁共振机维保</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CGXM-2024-350101-02060[2024]01477</w:t>
      </w:r>
    </w:p>
    <w:p>
      <w:pPr>
        <w:pStyle w:val="null3"/>
        <w:ind w:firstLine="480"/>
        <w:jc w:val="left"/>
        <w:outlineLvl w:val="2"/>
      </w:pPr>
      <w:r>
        <w:rPr>
          <w:sz w:val="28"/>
          <w:b/>
        </w:rPr>
        <w:t>2、项目编号</w:t>
      </w:r>
      <w:r>
        <w:rPr>
          <w:sz w:val="28"/>
          <w:b/>
        </w:rPr>
        <w:t>：</w:t>
      </w:r>
      <w:r>
        <w:rPr>
          <w:sz w:val="28"/>
          <w:b/>
        </w:rPr>
        <w:t>[350101]LIXIN[GK]2024003</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资格承诺函（若有）</w:t>
            </w:r>
          </w:p>
        </w:tc>
        <w:tc>
          <w:tcPr>
            <w:tcW w:type="dxa" w:w="4614"/>
          </w:tcPr>
          <w:p>
            <w:pPr>
              <w:pStyle w:val="null3"/>
              <w:jc w:val="both"/>
            </w:pPr>
            <w:r>
              <w:rPr/>
              <w:t>投标人在投标文件中可自行选择是否提供资格承诺函（格式详见附件），若按附件内容要求提供资格承诺函，无需在投标文件中提交财务状况、缴纳税收和社保资金缴纳证明材料。注：（1）采购人有权在签订合同前要求中标人提供相关证明材料以核实中标人承诺事项的真实性。投标人应当遵循诚实守信的原则，不得作出虚假承诺，承诺不实的，属于提供虚假材料谋取中标、成交，依法追究相关的法律责任。（2）投标人可自行选择是否提供本承诺函，若不提供本承诺函的，应按招标文件要求提供相应的资格证明材料。（3）投标人可刪减承诺事项，如刪去承诺第1项的，则应按招标文件要求提供财务状况报告。</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福建省福州结核病防治院</w:t>
      </w:r>
    </w:p>
    <w:p>
      <w:pPr>
        <w:pStyle w:val="null3"/>
        <w:ind w:firstLine="960"/>
        <w:jc w:val="left"/>
      </w:pPr>
      <w:r>
        <w:rPr/>
        <w:t xml:space="preserve"> 地址： </w:t>
      </w:r>
      <w:r>
        <w:rPr/>
        <w:t>福州市仓山区福湾路湖边2号</w:t>
      </w:r>
    </w:p>
    <w:p>
      <w:pPr>
        <w:pStyle w:val="null3"/>
        <w:jc w:val="left"/>
      </w:pPr>
      <w:r>
        <w:rPr/>
        <w:t xml:space="preserve"> 邮编： </w:t>
      </w:r>
      <w:r>
        <w:rPr/>
        <w:t>350001</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sz w:val="28"/>
          <w:b/>
        </w:rPr>
        <w:t>12、代理机构</w:t>
      </w:r>
      <w:r>
        <w:rPr>
          <w:sz w:val="28"/>
          <w:b/>
        </w:rPr>
        <w:t>：</w:t>
      </w:r>
      <w:r>
        <w:rPr>
          <w:sz w:val="28"/>
          <w:b/>
        </w:rPr>
        <w:t>福建立欣项目管理有限公司</w:t>
      </w:r>
    </w:p>
    <w:p>
      <w:pPr>
        <w:pStyle w:val="null3"/>
        <w:ind w:firstLine="960"/>
        <w:jc w:val="both"/>
      </w:pPr>
      <w:r>
        <w:rPr/>
        <w:t xml:space="preserve"> 地址： </w:t>
      </w:r>
      <w:r>
        <w:rPr/>
        <w:t>福建省福州市鼓楼区华林路268号侨益大厦7楼03单元</w:t>
      </w:r>
    </w:p>
    <w:p>
      <w:pPr>
        <w:pStyle w:val="null3"/>
        <w:jc w:val="both"/>
      </w:pPr>
      <w:r>
        <w:rPr/>
        <w:t xml:space="preserve"> 邮编： </w:t>
      </w:r>
      <w:r>
        <w:rPr/>
        <w:t>350003</w:t>
      </w:r>
    </w:p>
    <w:p>
      <w:pPr>
        <w:pStyle w:val="null3"/>
        <w:jc w:val="both"/>
      </w:pPr>
      <w:r>
        <w:rPr/>
        <w:t xml:space="preserve"> 联系人： </w:t>
      </w:r>
      <w:r>
        <w:rPr/>
        <w:t>林心、马新桐、张滨、杨舒羽</w:t>
      </w:r>
    </w:p>
    <w:p>
      <w:pPr>
        <w:pStyle w:val="null3"/>
        <w:jc w:val="both"/>
      </w:pPr>
      <w:r>
        <w:rPr/>
        <w:t xml:space="preserve"> 联系电话： </w:t>
      </w:r>
      <w:r>
        <w:rPr/>
        <w:t>0591-87508089，18059178922</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福建立欣项目管理有限公司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2,400,000.00</w:t>
      </w:r>
    </w:p>
    <w:p>
      <w:pPr>
        <w:pStyle w:val="null3"/>
        <w:jc w:val="left"/>
      </w:pPr>
      <w:r>
        <w:rPr/>
        <w:t>采购包最高限价（元）: 2,360,000.00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西门子Prisma MR磁共振机维保</w:t>
            </w:r>
          </w:p>
        </w:tc>
        <w:tc>
          <w:tcPr>
            <w:tcW w:type="dxa" w:w="1187"/>
          </w:tcPr>
          <w:p>
            <w:pPr>
              <w:pStyle w:val="null3"/>
              <w:jc w:val="right"/>
            </w:pPr>
            <w:r>
              <w:rPr/>
              <w:t>1.00</w:t>
            </w:r>
          </w:p>
        </w:tc>
        <w:tc>
          <w:tcPr>
            <w:tcW w:type="dxa" w:w="1187"/>
          </w:tcPr>
          <w:p>
            <w:pPr>
              <w:pStyle w:val="null3"/>
              <w:jc w:val="right"/>
            </w:pPr>
            <w:r>
              <w:rPr/>
              <w:t>2,400,000.00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投标人评标总得分且评标价(即价格扣除后的投标报价)相同的并列，则按“技术项评审因素”的得分从高到低排序推荐中标候选人；若投标人的评标总得分且评标价(即价格扣除后的投标报价)相同、技术项评审因素、商务项评审因素得分得分均相同的，则评标委员会在有关监督人员的监督下通过随机抽签的形式，确定他们之间的排名顺序。</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福建立欣项目管理有限公司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的招标代理服务费按采购包进行收取，由中标人支付，以中标金额为基准按差额定率累进法计算，向招标代理机构交纳招标代理服务费(中标服务费)。①招标代理服务收费的标准：100万元以下部分按1.5%计算；100-500万元以内部分按0.8%计算；②招标代理服务费专户：开户名：福建立欣项目管理有限公司；开户行：兴业银行股份有限公司福州环球支行；账号：118110100100268603。</w:t>
            </w:r>
          </w:p>
          <w:p>
            <w:pPr>
              <w:pStyle w:val="null3"/>
              <w:jc w:val="left"/>
            </w:pPr>
            <w:r>
              <w:rPr/>
              <w:t xml:space="preserve"> (2)其他：</w:t>
            </w:r>
          </w:p>
          <w:p>
            <w:pPr>
              <w:pStyle w:val="null3"/>
              <w:jc w:val="left"/>
            </w:pPr>
            <w:r>
              <w:rPr/>
              <w:t>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w:t>
            </w:r>
            <w:r>
              <w:rPr/>
              <w:t xml:space="preserve"> 的内容修正为下列内容：</w:t>
            </w:r>
          </w:p>
          <w:p>
            <w:pPr>
              <w:pStyle w:val="null3"/>
              <w:jc w:val="left"/>
            </w:pPr>
            <w:r>
              <w:rPr/>
              <w:t>/</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本项目执行《关于福建省财政厅关于电子化政府采购项目中视为串标情形认定与处理的指导意见》(闽财购〔2018〕30号)规定。b、关于远程开标的规定：①本项目支持远程开标，投标人可通过远程线上参与开标，具体系统操作指南详见福建省政府采购网首页上相关操作手册。②本项目开标过程中远程解密操作时限为30分钟，远程签章操作时限为5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福建立欣项目管理有限公司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福建立欣项目管理有限公司</w:t>
      </w:r>
      <w:r>
        <w:rPr/>
        <w:t xml:space="preserve"> 将在投标截止时间至少15个日历日前，在招标文件载明的指定媒体以更正公告的形式发布澄清或修改的内容。不足15个日历日的， </w:t>
      </w:r>
      <w:r>
        <w:rPr/>
        <w:t>福建立欣项目管理有限公司</w:t>
      </w:r>
      <w:r>
        <w:rPr/>
        <w:t xml:space="preserve"> 将顺延投标截止时间及开标时间， </w:t>
      </w:r>
      <w:r>
        <w:rPr/>
        <w:t>福建立欣项目管理有限公司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福建立欣项目管理有限公司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福建立欣项目管理有限公司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福建立欣项目管理有限公司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福建立欣项目管理有限公司</w:t>
      </w:r>
      <w:r>
        <w:rPr/>
        <w:t xml:space="preserve"> 可终止招标并发布终止公告。</w:t>
      </w:r>
    </w:p>
    <w:p>
      <w:pPr>
        <w:pStyle w:val="null3"/>
        <w:ind w:firstLine="480"/>
        <w:jc w:val="both"/>
      </w:pPr>
      <w:r>
        <w:rPr/>
        <w:t xml:space="preserve">8.2终止公告作为 </w:t>
      </w:r>
      <w:r>
        <w:rPr/>
        <w:t>福建立欣项目管理有限公司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福建立欣项目管理有限公司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福建立欣项目管理有限公司</w:t>
      </w:r>
      <w:r>
        <w:rPr/>
        <w:t xml:space="preserve"> 可于投标有效期届满之前书面要求投标人延长投标有效期，投标人应在 </w:t>
      </w:r>
      <w:r>
        <w:rPr/>
        <w:t>福建立欣项目管理有限公司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福建立欣项目管理有限公司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福建立欣项目管理有限公司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福建立欣项目管理有限公司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福建立欣项目管理有限公司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福建立欣项目管理有限公司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福建立欣项目管理有限公司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福建立欣项目管理有限公司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福建立欣项目管理有限公司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福建立欣项目管理有限公司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福建立欣项目管理有限公司</w:t>
      </w:r>
      <w:r>
        <w:rPr/>
        <w:t xml:space="preserve"> 提出询问， </w:t>
      </w:r>
      <w:r>
        <w:rPr/>
        <w:t>福建立欣项目管理有限公司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福建立欣项目管理有限公司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福建立欣项目管理有限公司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由福建立欣项目管理有限公司派出的工作人员至少1人，</w:t>
      </w:r>
      <w:r>
        <w:rPr/>
        <w:t>其余1人可为采购人代表或福建立欣项目管理有限公司的工作人员。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资格承诺函（若有）</w:t>
            </w:r>
          </w:p>
        </w:tc>
        <w:tc>
          <w:tcPr>
            <w:tcW w:type="dxa" w:w="4614"/>
          </w:tcPr>
          <w:p>
            <w:pPr>
              <w:pStyle w:val="null3"/>
              <w:jc w:val="left"/>
            </w:pPr>
            <w:r>
              <w:rPr/>
              <w:t>投标人在投标文件中可自行选择是否提供资格承诺函（格式详见附件），若按附件内容要求提供资格承诺函，无需在投标文件中提交财务状况、缴纳税收和社保资金缴纳证明材料。注：（1）采购人有权在签订合同前要求中标人提供相关证明材料以核实中标人承诺事项的真实性。投标人应当遵循诚实守信的原则，不得作出虚假承诺，承诺不实的，属于提供虚假材料谋取中标、成交，依法追究相关的法律责任。（2）投标人可自行选择是否提供本承诺函，若不提供本承诺函的，应按招标文件要求提供相应的资格证明材料。（3）投标人可刪减承诺事项，如刪去承诺第1项的，则应按招标文件要求提供财务状况报告。</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福建立欣项目管理有限公司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福建立欣项目管理有限公司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福建立欣项目管理有限公司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福建立欣项目管理有限公司</w:t>
      </w:r>
      <w:r>
        <w:rPr/>
        <w:t xml:space="preserve"> 统一对外发布。</w:t>
      </w:r>
    </w:p>
    <w:p>
      <w:pPr>
        <w:pStyle w:val="null3"/>
        <w:ind w:firstLine="480"/>
        <w:jc w:val="both"/>
      </w:pPr>
      <w:r>
        <w:rPr/>
        <w:t xml:space="preserve">②对 </w:t>
      </w:r>
      <w:r>
        <w:rPr/>
        <w:t>福建立欣项目管理有限公司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投标人的技术项实际得分少于招标文件设定的技术项总分50%的；出现不满足或未响应招标文件第五章招标内容及要求中标注“★”条款的；</w:t>
            </w:r>
          </w:p>
        </w:tc>
      </w:tr>
      <w:tr>
        <w:tc>
          <w:tcPr>
            <w:tcW w:type="dxa" w:w="4153"/>
          </w:tcPr>
          <w:p>
            <w:pPr>
              <w:pStyle w:val="null3"/>
              <w:jc w:val="left"/>
            </w:pPr>
            <w:r>
              <w:rPr/>
              <w:t>其他情形</w:t>
            </w:r>
          </w:p>
        </w:tc>
        <w:tc>
          <w:tcPr>
            <w:tcW w:type="dxa" w:w="4153"/>
          </w:tcPr>
          <w:p>
            <w:pPr>
              <w:pStyle w:val="null3"/>
              <w:jc w:val="left"/>
            </w:pPr>
            <w:r>
              <w:rPr/>
              <w:t>技术部分中出现报价部分的全部或部分的投标报价信息(或组成资料)的。招标文件其他地方描述与此处不一致的，以此为准。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出现不满足或未响应招标文件第五章招标内容及要求“三、商务要求”中任一条款的；商务部分中出现报价部分的全部或部分的投标报价信息(或组成资料)的。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报价不得超过采购包最高限价或预算金额，否则视为无效投标；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福建立欣项目管理有限公司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价格项（F1×A1）满分为20.0000分</w:t>
      </w:r>
    </w:p>
    <w:p>
      <w:pPr>
        <w:pStyle w:val="null3"/>
        <w:jc w:val="both"/>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①本项目为非专门面向中小企业采购项目，评审时对符合《政府采购促进中小企业发展管理办法》（财库﹝2020﹞46号）及《福建省财政厅关于进一步加大政府采购支持中小企业力度的通知》（闽财规〔2022〕13号）规定的小型、微型企业的报价给予价格扣除【货物和服务项目扣除为15%】，用扣除后的价格参加评审。投标人须提供合格的中小企业声明函（格式详见第七章），否则不予价格扣除。②根据财政部、司法部联合印发《关于政府采购支持监狱企业发展有关问题的通知》（财库【2014】68号）文件规定，凡监狱企业参加政府采购活动视同小型、微型企业，享受预留份额、评审中价格扣除等促进中小企业发展的政府采购政策。此次若有监狱企业参加投标的其报价享受小微企业同等比例的价格扣除，但必须提供由省级以上监狱管理局、戒毒管理局（含新疆生产建设兵团）出具的属于监狱企业的证明文件，否则评审时不予价格扣除优惠。③根据财政部、民政部、中国残联文件（财库[2017]141号）及福建省财政厅、福建省民政厅、福建省残疾人联合会联合发布的《关于进一步落实政府采购支持残疾人就业政策的通知》、福建省财政厅《关于残疾人福利性单位参加政府采购活动价格扣除的通知》，凡符合上述文件要求条件的残疾人福利性单位在参加政府采购活动时视同小型、微型企业，享受预留份额、评审中价格扣除等促进中小企业发展的政府采购政策。对残疾人福利性单位报价部分给予小微企业同等比例的扣除，但必须提供《残疾人福利性单位声明函》（格式详见第七章），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④具体详见招标文件相关规定，在投标截止前对于中小企业价格扣除有发布新的政策的，以新政策执行。⑤本项目为服务类项目，采购标的对应的中小企业划分标准所属行业详见第一章“附2：采购标的一览表”</w:t>
            </w:r>
          </w:p>
        </w:tc>
      </w:tr>
    </w:tbl>
    <w:p>
      <w:pPr>
        <w:pStyle w:val="null3"/>
        <w:jc w:val="both"/>
      </w:pPr>
      <w:r>
        <w:rPr/>
        <w:t>其他：无</w:t>
      </w:r>
    </w:p>
    <w:p>
      <w:pPr>
        <w:pStyle w:val="null3"/>
        <w:jc w:val="both"/>
      </w:pPr>
      <w:r>
        <w:rPr/>
        <w:t>技术项（F2×A2）满分为71.0000分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1、技术和服务要求响应情况</w:t>
            </w:r>
          </w:p>
        </w:tc>
        <w:tc>
          <w:tcPr>
            <w:tcW w:type="dxa" w:w="831"/>
          </w:tcPr>
          <w:p>
            <w:pPr>
              <w:pStyle w:val="null3"/>
              <w:jc w:val="right"/>
            </w:pPr>
            <w:r>
              <w:rPr/>
              <w:t>39.0000</w:t>
            </w:r>
          </w:p>
        </w:tc>
        <w:tc>
          <w:tcPr>
            <w:tcW w:type="dxa" w:w="4153"/>
          </w:tcPr>
          <w:p>
            <w:pPr>
              <w:pStyle w:val="null3"/>
              <w:jc w:val="both"/>
            </w:pPr>
            <w:r>
              <w:rPr/>
              <w:t>评委根据各投标人投标文件《技术和服务要求响应表》对照招标文件第五章招标内容及要求“二、技术和服务要求”逐项响应承诺等方面情况进行评分。《技术和服务要求响应表》中“技术和服务要求”列表内容应与公开招标文件《第五章招标内容及要求》“二、技术和服务要求”中的有关内容保持一致。投标响应应对照招标文件“二、技术和服务要求”的正、负、无偏离均应在《技术和服务要求响应表》中详细列出并说明。评分标准如下：①完全满足招标文件第五章招标内容及要求“二、技术要求”的得39分，②以“★”标注的条款均为不允许负偏离的实质性要求，不参与评分，若偏离，视为无效投标；③以“▲”标注的条款为重要服务指标，每负偏离一项扣3分（共5项，共15分）；④其他未标注的条款，每偏离一项扣1.5分（共16项，共24分）；⑤正偏离不加分。</w:t>
            </w:r>
          </w:p>
        </w:tc>
      </w:tr>
      <w:tr>
        <w:tc>
          <w:tcPr>
            <w:tcW w:type="dxa" w:w="3322"/>
          </w:tcPr>
          <w:p>
            <w:pPr>
              <w:pStyle w:val="null3"/>
              <w:jc w:val="both"/>
            </w:pPr>
            <w:r>
              <w:rPr/>
              <w:t>2、运作流程设计和组织实施方案</w:t>
            </w:r>
          </w:p>
        </w:tc>
        <w:tc>
          <w:tcPr>
            <w:tcW w:type="dxa" w:w="831"/>
          </w:tcPr>
          <w:p>
            <w:pPr>
              <w:pStyle w:val="null3"/>
              <w:jc w:val="right"/>
            </w:pPr>
            <w:r>
              <w:rPr/>
              <w:t>3.0000</w:t>
            </w:r>
          </w:p>
        </w:tc>
        <w:tc>
          <w:tcPr>
            <w:tcW w:type="dxa" w:w="4153"/>
          </w:tcPr>
          <w:p>
            <w:pPr>
              <w:pStyle w:val="null3"/>
              <w:jc w:val="both"/>
            </w:pPr>
            <w:r>
              <w:rPr/>
              <w:t>根据各投标人提供的运作流程设计和组织实施方案，由评委进行评分：运作流程设计完整、详细，组织实施方案全面、详细的，得3分；运作流程设计较完整、但不够详细，组织实施方案较全面、但不够详细的，得2分；运作流程设计简略，组织实施方案简略的，得1分；其他情况不得分。</w:t>
            </w:r>
          </w:p>
        </w:tc>
      </w:tr>
      <w:tr>
        <w:tc>
          <w:tcPr>
            <w:tcW w:type="dxa" w:w="3322"/>
          </w:tcPr>
          <w:p>
            <w:pPr>
              <w:pStyle w:val="null3"/>
              <w:jc w:val="both"/>
            </w:pPr>
            <w:r>
              <w:rPr/>
              <w:t>3、应急方案</w:t>
            </w:r>
          </w:p>
        </w:tc>
        <w:tc>
          <w:tcPr>
            <w:tcW w:type="dxa" w:w="831"/>
          </w:tcPr>
          <w:p>
            <w:pPr>
              <w:pStyle w:val="null3"/>
              <w:jc w:val="right"/>
            </w:pPr>
            <w:r>
              <w:rPr/>
              <w:t>3.0000</w:t>
            </w:r>
          </w:p>
        </w:tc>
        <w:tc>
          <w:tcPr>
            <w:tcW w:type="dxa" w:w="4153"/>
          </w:tcPr>
          <w:p>
            <w:pPr>
              <w:pStyle w:val="null3"/>
              <w:jc w:val="both"/>
            </w:pPr>
            <w:r>
              <w:rPr/>
              <w:t>根据各投标人提供的针对本项目有可能发生突发情况的应急方案，由评委进行评分：应急方案完整、详细、针对性强的，得3分；应急方案较为完整、但不够详细，针对性较强的，得2分；应急方案简略，针对性一般的，得1分；其他情况不得分。</w:t>
            </w:r>
          </w:p>
        </w:tc>
      </w:tr>
      <w:tr>
        <w:tc>
          <w:tcPr>
            <w:tcW w:type="dxa" w:w="3322"/>
          </w:tcPr>
          <w:p>
            <w:pPr>
              <w:pStyle w:val="null3"/>
              <w:jc w:val="both"/>
            </w:pPr>
            <w:r>
              <w:rPr/>
              <w:t>4、各项管理制度及人员培训制度</w:t>
            </w:r>
          </w:p>
        </w:tc>
        <w:tc>
          <w:tcPr>
            <w:tcW w:type="dxa" w:w="831"/>
          </w:tcPr>
          <w:p>
            <w:pPr>
              <w:pStyle w:val="null3"/>
              <w:jc w:val="right"/>
            </w:pPr>
            <w:r>
              <w:rPr/>
              <w:t>3.0000</w:t>
            </w:r>
          </w:p>
        </w:tc>
        <w:tc>
          <w:tcPr>
            <w:tcW w:type="dxa" w:w="4153"/>
          </w:tcPr>
          <w:p>
            <w:pPr>
              <w:pStyle w:val="null3"/>
              <w:jc w:val="both"/>
            </w:pPr>
            <w:r>
              <w:rPr/>
              <w:t>根据各投标人提供的各项管理制度及人员培训制度，由评委进行评分：各项管理制度及人员培训制度完整、详细、可实施性强的，得3分；各项管理制度及人员培训制度较为完整、但不够详细，可实施性较强的，得2分；各项管理制度及人员培训制度简略，可实施性一般的，得1分；其他情况不得分。</w:t>
            </w:r>
          </w:p>
        </w:tc>
      </w:tr>
      <w:tr>
        <w:tc>
          <w:tcPr>
            <w:tcW w:type="dxa" w:w="3322"/>
          </w:tcPr>
          <w:p>
            <w:pPr>
              <w:pStyle w:val="null3"/>
              <w:jc w:val="both"/>
            </w:pPr>
            <w:r>
              <w:rPr/>
              <w:t>5、服务团队配置情况</w:t>
            </w:r>
          </w:p>
        </w:tc>
        <w:tc>
          <w:tcPr>
            <w:tcW w:type="dxa" w:w="831"/>
          </w:tcPr>
          <w:p>
            <w:pPr>
              <w:pStyle w:val="null3"/>
              <w:jc w:val="right"/>
            </w:pPr>
            <w:r>
              <w:rPr/>
              <w:t>3.0000</w:t>
            </w:r>
          </w:p>
        </w:tc>
        <w:tc>
          <w:tcPr>
            <w:tcW w:type="dxa" w:w="4153"/>
          </w:tcPr>
          <w:p>
            <w:pPr>
              <w:pStyle w:val="null3"/>
              <w:jc w:val="both"/>
            </w:pPr>
            <w:r>
              <w:rPr/>
              <w:t>根据各投标人提供的拟投入本项目的服务团队配置情况（包含人员明细、资质水平、岗位、职责等情况），由评委进行评分：服务团队配置合理，能切实保证维保服务实施的，得3分；服务团队配置较为合理，能基本保证维保服务实施的，得2分；服务团队配置简单，但也能勉强保证维保服务实施的，得1分；其他情况不得分。</w:t>
            </w:r>
          </w:p>
        </w:tc>
      </w:tr>
      <w:tr>
        <w:tc>
          <w:tcPr>
            <w:tcW w:type="dxa" w:w="3322"/>
          </w:tcPr>
          <w:p>
            <w:pPr>
              <w:pStyle w:val="null3"/>
              <w:jc w:val="both"/>
            </w:pPr>
            <w:r>
              <w:rPr/>
              <w:t>6、一般备件保障情况</w:t>
            </w:r>
          </w:p>
        </w:tc>
        <w:tc>
          <w:tcPr>
            <w:tcW w:type="dxa" w:w="831"/>
          </w:tcPr>
          <w:p>
            <w:pPr>
              <w:pStyle w:val="null3"/>
              <w:jc w:val="right"/>
            </w:pPr>
            <w:r>
              <w:rPr/>
              <w:t>3.0000</w:t>
            </w:r>
          </w:p>
        </w:tc>
        <w:tc>
          <w:tcPr>
            <w:tcW w:type="dxa" w:w="4153"/>
          </w:tcPr>
          <w:p>
            <w:pPr>
              <w:pStyle w:val="null3"/>
              <w:jc w:val="both"/>
            </w:pPr>
            <w:r>
              <w:rPr/>
              <w:t>合同期内发生零部件故障：（1）投标人承诺维修时所有更换的备件与原机备件同一规格型号且为全新厂家认证/测试合格件的，得3分，需提供承诺函，承诺以上内容，并保证与原设备完全兼容，不会给设备造成危害，承诺不完整或未提供的不得分。（2）投标人承诺维修时所有更换的备件为非原厂备件的得1分。需提供承诺函，承诺以上内容，并保证与原设备完全兼容，不会给设备造成危害，且具有合法注册证明，承诺不完整或未提供的不得分。</w:t>
            </w:r>
          </w:p>
        </w:tc>
      </w:tr>
      <w:tr>
        <w:tc>
          <w:tcPr>
            <w:tcW w:type="dxa" w:w="3322"/>
          </w:tcPr>
          <w:p>
            <w:pPr>
              <w:pStyle w:val="null3"/>
              <w:jc w:val="both"/>
            </w:pPr>
            <w:r>
              <w:rPr/>
              <w:t>7、核心备件保障情况</w:t>
            </w:r>
          </w:p>
        </w:tc>
        <w:tc>
          <w:tcPr>
            <w:tcW w:type="dxa" w:w="831"/>
          </w:tcPr>
          <w:p>
            <w:pPr>
              <w:pStyle w:val="null3"/>
              <w:jc w:val="right"/>
            </w:pPr>
            <w:r>
              <w:rPr/>
              <w:t>3.0000</w:t>
            </w:r>
          </w:p>
        </w:tc>
        <w:tc>
          <w:tcPr>
            <w:tcW w:type="dxa" w:w="4153"/>
          </w:tcPr>
          <w:p>
            <w:pPr>
              <w:pStyle w:val="null3"/>
              <w:jc w:val="both"/>
            </w:pPr>
            <w:r>
              <w:rPr/>
              <w:t>投标人承诺：合同期内如需更换的磁体为通过合法授权渠道取得的全新的、与原机型号一致的原厂生产的磁体的，得3分。需提供承诺函，未提供的不得分。</w:t>
            </w:r>
          </w:p>
        </w:tc>
      </w:tr>
      <w:tr>
        <w:tc>
          <w:tcPr>
            <w:tcW w:type="dxa" w:w="3322"/>
          </w:tcPr>
          <w:p>
            <w:pPr>
              <w:pStyle w:val="null3"/>
              <w:jc w:val="both"/>
            </w:pPr>
            <w:r>
              <w:rPr/>
              <w:t>8、监测预警技术</w:t>
            </w:r>
          </w:p>
        </w:tc>
        <w:tc>
          <w:tcPr>
            <w:tcW w:type="dxa" w:w="831"/>
          </w:tcPr>
          <w:p>
            <w:pPr>
              <w:pStyle w:val="null3"/>
              <w:jc w:val="right"/>
            </w:pPr>
            <w:r>
              <w:rPr/>
              <w:t>3.0000</w:t>
            </w:r>
          </w:p>
        </w:tc>
        <w:tc>
          <w:tcPr>
            <w:tcW w:type="dxa" w:w="4153"/>
          </w:tcPr>
          <w:p>
            <w:pPr>
              <w:pStyle w:val="null3"/>
              <w:jc w:val="both"/>
            </w:pPr>
            <w:r>
              <w:rPr/>
              <w:t>投标人具有实时液氦平面在线检测能力和实时磁体内温监测并显示数据的，得3分。投标人须提供满足上述功能需求完整的远程遥控诊断之硬件和软件显示界面截图：实时在线液氦及磁体状态界面、磁体內温照片（至少各2张，每张相隔时间不超过1分钟）。提供不齐全不得分。</w:t>
            </w:r>
          </w:p>
        </w:tc>
      </w:tr>
      <w:tr>
        <w:tc>
          <w:tcPr>
            <w:tcW w:type="dxa" w:w="3322"/>
          </w:tcPr>
          <w:p>
            <w:pPr>
              <w:pStyle w:val="null3"/>
              <w:jc w:val="both"/>
            </w:pPr>
            <w:r>
              <w:rPr/>
              <w:t>9、设备系统安全级别的设备升级技术</w:t>
            </w:r>
          </w:p>
        </w:tc>
        <w:tc>
          <w:tcPr>
            <w:tcW w:type="dxa" w:w="831"/>
          </w:tcPr>
          <w:p>
            <w:pPr>
              <w:pStyle w:val="null3"/>
              <w:jc w:val="right"/>
            </w:pPr>
            <w:r>
              <w:rPr/>
              <w:t>3.0000</w:t>
            </w:r>
          </w:p>
        </w:tc>
        <w:tc>
          <w:tcPr>
            <w:tcW w:type="dxa" w:w="4153"/>
          </w:tcPr>
          <w:p>
            <w:pPr>
              <w:pStyle w:val="null3"/>
              <w:jc w:val="both"/>
            </w:pPr>
            <w:r>
              <w:rPr/>
              <w:t>投标人能及时合法获取原厂系统安全性、完善性软硬件升级通知并能免费提供原厂系统安全性、完善性软硬件升级服务，能获得原厂维保设备全套完整设备系统软硬件升级、随时按需要取得设备生产者研发和工厂的技术、物力的支持，得3分。投标人需提供书面承诺函，承诺函须包含以上完整内容。承诺不完整或未承诺的不得分。</w:t>
            </w:r>
          </w:p>
        </w:tc>
      </w:tr>
      <w:tr>
        <w:tc>
          <w:tcPr>
            <w:tcW w:type="dxa" w:w="3322"/>
          </w:tcPr>
          <w:p>
            <w:pPr>
              <w:pStyle w:val="null3"/>
              <w:jc w:val="both"/>
            </w:pPr>
            <w:r>
              <w:rPr/>
              <w:t>10、专业服务能力</w:t>
            </w:r>
          </w:p>
        </w:tc>
        <w:tc>
          <w:tcPr>
            <w:tcW w:type="dxa" w:w="831"/>
          </w:tcPr>
          <w:p>
            <w:pPr>
              <w:pStyle w:val="null3"/>
              <w:jc w:val="right"/>
            </w:pPr>
            <w:r>
              <w:rPr/>
              <w:t>3.0000</w:t>
            </w:r>
          </w:p>
        </w:tc>
        <w:tc>
          <w:tcPr>
            <w:tcW w:type="dxa" w:w="4153"/>
          </w:tcPr>
          <w:p>
            <w:pPr>
              <w:pStyle w:val="null3"/>
              <w:jc w:val="both"/>
            </w:pPr>
            <w:r>
              <w:rPr/>
              <w:t>投标人可提供全套原厂诊断软件，并保证能够解决所有需要原厂维修密钥才能解决的设备故障，能合法有效取得原厂维修密钥、并保证密钥的使用不侵犯第三方利益的，得3分。投标人需提供书面承诺函，承诺函须包含以上完整内容。承诺不完整或未承诺的不得分。</w:t>
            </w:r>
          </w:p>
        </w:tc>
      </w:tr>
      <w:tr>
        <w:tc>
          <w:tcPr>
            <w:tcW w:type="dxa" w:w="3322"/>
          </w:tcPr>
          <w:p>
            <w:pPr>
              <w:pStyle w:val="null3"/>
              <w:jc w:val="both"/>
            </w:pPr>
            <w:r>
              <w:rPr/>
              <w:t>11、更换磁体的服务能力</w:t>
            </w:r>
          </w:p>
        </w:tc>
        <w:tc>
          <w:tcPr>
            <w:tcW w:type="dxa" w:w="831"/>
          </w:tcPr>
          <w:p>
            <w:pPr>
              <w:pStyle w:val="null3"/>
              <w:jc w:val="right"/>
            </w:pPr>
            <w:r>
              <w:rPr/>
              <w:t>3.0000</w:t>
            </w:r>
          </w:p>
        </w:tc>
        <w:tc>
          <w:tcPr>
            <w:tcW w:type="dxa" w:w="4153"/>
          </w:tcPr>
          <w:p>
            <w:pPr>
              <w:pStyle w:val="null3"/>
              <w:jc w:val="both"/>
            </w:pPr>
            <w:r>
              <w:rPr/>
              <w:t>投标人具备更换磁体的服务能力，包含但不限于添加液氦、励磁、匀场和调试等工作，使得设备达到运行标准并能通过设备厂家的性能检测的，得3分。投标人需提供磁体报关单材料材料以及跟换工单，否则不得分。</w:t>
            </w:r>
          </w:p>
        </w:tc>
      </w:tr>
      <w:tr>
        <w:tc>
          <w:tcPr>
            <w:tcW w:type="dxa" w:w="3322"/>
          </w:tcPr>
          <w:p>
            <w:pPr>
              <w:pStyle w:val="null3"/>
              <w:jc w:val="both"/>
            </w:pPr>
            <w:r>
              <w:rPr/>
              <w:t>12、在线培训平台</w:t>
            </w:r>
          </w:p>
        </w:tc>
        <w:tc>
          <w:tcPr>
            <w:tcW w:type="dxa" w:w="831"/>
          </w:tcPr>
          <w:p>
            <w:pPr>
              <w:pStyle w:val="null3"/>
              <w:jc w:val="right"/>
            </w:pPr>
            <w:r>
              <w:rPr/>
              <w:t>2.0000</w:t>
            </w:r>
          </w:p>
        </w:tc>
        <w:tc>
          <w:tcPr>
            <w:tcW w:type="dxa" w:w="4153"/>
          </w:tcPr>
          <w:p>
            <w:pPr>
              <w:pStyle w:val="null3"/>
              <w:jc w:val="both"/>
            </w:pPr>
            <w:r>
              <w:rPr/>
              <w:t>投标人拥有网络培训平台，可以提供网络在线培训的得2分。投标人须提供平台网址连接和页面截图，否则不得分。</w:t>
            </w:r>
          </w:p>
        </w:tc>
      </w:tr>
    </w:tbl>
    <w:p>
      <w:pPr>
        <w:pStyle w:val="null3"/>
        <w:jc w:val="both"/>
      </w:pPr>
      <w:r>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1、同类型项目经验</w:t>
            </w:r>
          </w:p>
        </w:tc>
        <w:tc>
          <w:tcPr>
            <w:tcW w:type="dxa" w:w="831"/>
          </w:tcPr>
          <w:p>
            <w:pPr>
              <w:pStyle w:val="null3"/>
              <w:jc w:val="right"/>
            </w:pPr>
            <w:r>
              <w:rPr/>
              <w:t>3.0000</w:t>
            </w:r>
          </w:p>
        </w:tc>
        <w:tc>
          <w:tcPr>
            <w:tcW w:type="dxa" w:w="4153"/>
          </w:tcPr>
          <w:p>
            <w:pPr>
              <w:pStyle w:val="null3"/>
              <w:jc w:val="both"/>
            </w:pPr>
            <w:r>
              <w:rPr/>
              <w:t>根据投标人提供的自2021年1月1日至本项目投标截止时间止（以合同签订时间为准），由投标人所完成的与本项目同类型的设备维保（整机全保维保）项目情况进行评分：每提供一份得0.5分，满分3分。投标人须同时提供中标公告（提供相关网站中标公告的下载网页并注明网址）、中标通知书复印件、采购合同文本复印件、项目经验收合格的证明材料（若无则提供银行收款回单复印件）。提供不齐全不得分。</w:t>
            </w:r>
          </w:p>
        </w:tc>
      </w:tr>
      <w:tr>
        <w:tc>
          <w:tcPr>
            <w:tcW w:type="dxa" w:w="3322"/>
          </w:tcPr>
          <w:p>
            <w:pPr>
              <w:pStyle w:val="null3"/>
              <w:jc w:val="both"/>
            </w:pPr>
            <w:r>
              <w:rPr/>
              <w:t>2、备品备件库</w:t>
            </w:r>
          </w:p>
        </w:tc>
        <w:tc>
          <w:tcPr>
            <w:tcW w:type="dxa" w:w="831"/>
          </w:tcPr>
          <w:p>
            <w:pPr>
              <w:pStyle w:val="null3"/>
              <w:jc w:val="right"/>
            </w:pPr>
            <w:r>
              <w:rPr/>
              <w:t>3.0000</w:t>
            </w:r>
          </w:p>
        </w:tc>
        <w:tc>
          <w:tcPr>
            <w:tcW w:type="dxa" w:w="4153"/>
          </w:tcPr>
          <w:p>
            <w:pPr>
              <w:pStyle w:val="null3"/>
              <w:jc w:val="both"/>
            </w:pPr>
            <w:r>
              <w:rPr/>
              <w:t>投标人在中国大陆地区具备零备件仓库的，得3分。需同时提供与本项目同型号3.0T MRI易损高值备件（梯度线圈、体线圈、射频放大器）库存证明材料复印件（若为进口备件，需提供报关单复印件佐证），以及仓库租赁合同或产权证明等能体现仓库地址和面积的相关证明材料，提供不齐全不得分。</w:t>
            </w:r>
          </w:p>
        </w:tc>
      </w:tr>
      <w:tr>
        <w:tc>
          <w:tcPr>
            <w:tcW w:type="dxa" w:w="3322"/>
          </w:tcPr>
          <w:p>
            <w:pPr>
              <w:pStyle w:val="null3"/>
              <w:jc w:val="both"/>
            </w:pPr>
            <w:r>
              <w:rPr/>
              <w:t>3、售后能力方案</w:t>
            </w:r>
          </w:p>
        </w:tc>
        <w:tc>
          <w:tcPr>
            <w:tcW w:type="dxa" w:w="831"/>
          </w:tcPr>
          <w:p>
            <w:pPr>
              <w:pStyle w:val="null3"/>
              <w:jc w:val="right"/>
            </w:pPr>
            <w:r>
              <w:rPr/>
              <w:t>3.0000</w:t>
            </w:r>
          </w:p>
        </w:tc>
        <w:tc>
          <w:tcPr>
            <w:tcW w:type="dxa" w:w="4153"/>
          </w:tcPr>
          <w:p>
            <w:pPr>
              <w:pStyle w:val="null3"/>
              <w:jc w:val="both"/>
            </w:pPr>
            <w:r>
              <w:rPr/>
              <w:t>根据各投标人的售后能力方案,主要包括售后服务机构设置情况、沟通交流方便性、应急处理能力、是否可到现场监督检查等方面，由评标委员会进行评议：方案整体详细完整、全面合理、售后能力强的得3分；方案内容基本完整、较全面、售后能力较强的得2分；方案不够完整、不够全面、出现少量内容有缺漏、表达不清、售后能力一般的得1分；未提供的得0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color w:val="000000"/>
        </w:rPr>
        <w:t>1、本次采购服务主要用于福建省福州结核病防治院西门子Prisma MR磁共振机维保服务采购项目使用。在保修期内必须保证更换的零部件必须通过合法渠道获得，具有在中国境内的合法使用权和用户保护权，每个配件合法纳税，若为进口配件，需提供海关报关证明材料复印件，与原有设备完全相兼容，且为全新原装货物，保证设备正常使用及运转。</w:t>
      </w:r>
      <w:r>
        <w:rPr>
          <w:rFonts w:ascii="宋体" w:hAnsi="宋体" w:cs="宋体" w:eastAsia="宋体"/>
          <w:sz w:val="24"/>
          <w:b/>
          <w:color w:val="000000"/>
        </w:rPr>
        <w:t>投标人需对此项做出单独承诺，否则按无效投标处理。</w:t>
      </w:r>
    </w:p>
    <w:p>
      <w:pPr>
        <w:pStyle w:val="null3"/>
        <w:ind w:firstLine="480"/>
        <w:jc w:val="both"/>
      </w:pPr>
      <w:r>
        <w:rPr>
          <w:rFonts w:ascii="宋体" w:hAnsi="宋体" w:cs="宋体" w:eastAsia="宋体"/>
          <w:sz w:val="24"/>
          <w:color w:val="000000"/>
        </w:rPr>
        <w:t>2、服务期：2年。</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color w:val="000000"/>
        </w:rPr>
        <w:t>【项号</w:t>
      </w:r>
      <w:r>
        <w:rPr>
          <w:rFonts w:ascii="宋体" w:hAnsi="宋体" w:cs="宋体" w:eastAsia="宋体"/>
          <w:sz w:val="24"/>
          <w:color w:val="000000"/>
        </w:rPr>
        <w:t>1】1、西门子MAGNETOM Prisma MRI主机的所有备件，其人工和备件（含液氦、线圈、精密空调、水冷机等）整机全保，不含移机以及其他第三方厂家产品。</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2】▲2、有专业的维修工程师（MR工程师），并注明服务于本项目的维修工程师的名录（至少3名）、联系方式，提供工程师通过原厂针对同类MR设备的维修培训所获证书（培训时间必须为2021年至今），提供投标截止前三个月内（不含投标截止当月）任意一个月社保缴纳证明。</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3】</w:t>
      </w:r>
      <w:r>
        <w:rPr>
          <w:rFonts w:ascii="宋体" w:hAnsi="宋体" w:cs="宋体" w:eastAsia="宋体"/>
          <w:sz w:val="24"/>
          <w:color w:val="000000"/>
        </w:rPr>
        <w:t>2</w:t>
      </w:r>
      <w:r>
        <w:rPr>
          <w:rFonts w:ascii="宋体" w:hAnsi="宋体" w:cs="宋体" w:eastAsia="宋体"/>
          <w:sz w:val="24"/>
          <w:color w:val="000000"/>
        </w:rPr>
        <w:t>.1要求配套工程师安装过同类机器＞3台。</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4】</w:t>
      </w:r>
      <w:r>
        <w:rPr>
          <w:rFonts w:ascii="宋体" w:hAnsi="宋体" w:cs="宋体" w:eastAsia="宋体"/>
          <w:sz w:val="24"/>
          <w:color w:val="000000"/>
        </w:rPr>
        <w:t>2</w:t>
      </w:r>
      <w:r>
        <w:rPr>
          <w:rFonts w:ascii="宋体" w:hAnsi="宋体" w:cs="宋体" w:eastAsia="宋体"/>
          <w:sz w:val="24"/>
          <w:color w:val="000000"/>
        </w:rPr>
        <w:t>.2要求配套工程师维修过同类机器＞3年。</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5】</w:t>
      </w:r>
      <w:r>
        <w:rPr>
          <w:rFonts w:ascii="宋体" w:hAnsi="宋体" w:cs="宋体" w:eastAsia="宋体"/>
          <w:sz w:val="24"/>
          <w:color w:val="000000"/>
        </w:rPr>
        <w:t>2</w:t>
      </w:r>
      <w:r>
        <w:rPr>
          <w:rFonts w:ascii="宋体" w:hAnsi="宋体" w:cs="宋体" w:eastAsia="宋体"/>
          <w:sz w:val="24"/>
          <w:color w:val="000000"/>
        </w:rPr>
        <w:t>.3有专门技术支持团队，团队成员工作经验＞</w:t>
      </w:r>
      <w:r>
        <w:rPr>
          <w:rFonts w:ascii="宋体" w:hAnsi="宋体" w:cs="宋体" w:eastAsia="宋体"/>
          <w:sz w:val="24"/>
          <w:color w:val="000000"/>
        </w:rPr>
        <w:t>15年</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6】</w:t>
      </w:r>
      <w:r>
        <w:rPr>
          <w:rFonts w:ascii="宋体" w:hAnsi="宋体" w:cs="宋体" w:eastAsia="宋体"/>
          <w:sz w:val="24"/>
          <w:color w:val="000000"/>
        </w:rPr>
        <w:t>2</w:t>
      </w:r>
      <w:r>
        <w:rPr>
          <w:rFonts w:ascii="宋体" w:hAnsi="宋体" w:cs="宋体" w:eastAsia="宋体"/>
          <w:sz w:val="24"/>
          <w:color w:val="000000"/>
        </w:rPr>
        <w:t>.4有研发工厂和临床应用服务支持。</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7】</w:t>
      </w:r>
      <w:r>
        <w:rPr>
          <w:rFonts w:ascii="宋体" w:hAnsi="宋体" w:cs="宋体" w:eastAsia="宋体"/>
          <w:sz w:val="24"/>
          <w:color w:val="000000"/>
        </w:rPr>
        <w:t>3</w:t>
      </w:r>
      <w:r>
        <w:rPr>
          <w:rFonts w:ascii="宋体" w:hAnsi="宋体" w:cs="宋体" w:eastAsia="宋体"/>
          <w:sz w:val="24"/>
          <w:color w:val="000000"/>
        </w:rPr>
        <w:t>、服务类型要求：定期巡检、远程服务（电话支持、宽带远程支持）、现场服务。</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8】</w:t>
      </w:r>
      <w:r>
        <w:rPr>
          <w:rFonts w:ascii="宋体" w:hAnsi="宋体" w:cs="宋体" w:eastAsia="宋体"/>
          <w:sz w:val="24"/>
          <w:color w:val="000000"/>
        </w:rPr>
        <w:t>3</w:t>
      </w:r>
      <w:r>
        <w:rPr>
          <w:rFonts w:ascii="宋体" w:hAnsi="宋体" w:cs="宋体" w:eastAsia="宋体"/>
          <w:sz w:val="24"/>
          <w:color w:val="000000"/>
        </w:rPr>
        <w:t>.1具备远程诊断系统，并可以提供远程维修技术支持和远程临床运用服务支持等功能。能通过互联网连接远程进行故障排除，要求远程服务的信息系统在公安机关具有安全等级保护备案，</w:t>
      </w:r>
      <w:r>
        <w:rPr>
          <w:rFonts w:ascii="宋体" w:hAnsi="宋体" w:cs="宋体" w:eastAsia="宋体"/>
          <w:sz w:val="24"/>
          <w:b/>
          <w:color w:val="000000"/>
        </w:rPr>
        <w:t>提供证明材料</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9】</w:t>
      </w:r>
      <w:r>
        <w:rPr>
          <w:rFonts w:ascii="宋体" w:hAnsi="宋体" w:cs="宋体" w:eastAsia="宋体"/>
          <w:sz w:val="24"/>
          <w:color w:val="000000"/>
        </w:rPr>
        <w:t>3</w:t>
      </w:r>
      <w:r>
        <w:rPr>
          <w:rFonts w:ascii="宋体" w:hAnsi="宋体" w:cs="宋体" w:eastAsia="宋体"/>
          <w:sz w:val="24"/>
          <w:color w:val="000000"/>
        </w:rPr>
        <w:t>.2能通过远程系统进行设备的维护，并提供设备运行状况报告。</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10】</w:t>
      </w:r>
      <w:r>
        <w:rPr>
          <w:rFonts w:ascii="宋体" w:hAnsi="宋体" w:cs="宋体" w:eastAsia="宋体"/>
          <w:sz w:val="24"/>
          <w:color w:val="000000"/>
        </w:rPr>
        <w:t>4</w:t>
      </w:r>
      <w:r>
        <w:rPr>
          <w:rFonts w:ascii="宋体" w:hAnsi="宋体" w:cs="宋体" w:eastAsia="宋体"/>
          <w:sz w:val="24"/>
          <w:color w:val="000000"/>
        </w:rPr>
        <w:t>、必须具备</w:t>
      </w:r>
      <w:r>
        <w:rPr>
          <w:rFonts w:ascii="宋体" w:hAnsi="宋体" w:cs="宋体" w:eastAsia="宋体"/>
          <w:sz w:val="24"/>
          <w:color w:val="000000"/>
        </w:rPr>
        <w:t>400客户服务专线电话。每年365天开通，并有专人接听（400专线服务）。</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每天开通服务时间不少于</w:t>
      </w:r>
      <w:r>
        <w:rPr>
          <w:rFonts w:ascii="宋体" w:hAnsi="宋体" w:cs="宋体" w:eastAsia="宋体"/>
          <w:sz w:val="24"/>
          <w:color w:val="000000"/>
        </w:rPr>
        <w:t>12小时（400专线服务）。</w:t>
      </w:r>
      <w:r>
        <w:rPr>
          <w:rFonts w:ascii="宋体" w:hAnsi="宋体" w:cs="宋体" w:eastAsia="宋体"/>
          <w:sz w:val="24"/>
          <w:b/>
          <w:color w:val="000000"/>
        </w:rPr>
        <w:t>需对此项做出单独承诺。</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、具有原厂专业维修工具，并提供相关专业校准信息以供核实。</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w:t>
      </w: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、在国内具有专业快速的物流配送渠道（</w:t>
      </w:r>
      <w:r>
        <w:rPr>
          <w:rFonts w:ascii="宋体" w:hAnsi="宋体" w:cs="宋体" w:eastAsia="宋体"/>
          <w:sz w:val="24"/>
          <w:b/>
          <w:color w:val="000000"/>
        </w:rPr>
        <w:t>提供与物流合作公司的合作证明或提供相应配送车辆的证明</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w:t>
      </w: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7</w:t>
      </w:r>
      <w:r>
        <w:rPr>
          <w:rFonts w:ascii="宋体" w:hAnsi="宋体" w:cs="宋体" w:eastAsia="宋体"/>
          <w:sz w:val="24"/>
          <w:color w:val="000000"/>
        </w:rPr>
        <w:t>、每年两次定期保养，其中一次保养包含原厂碳刷的耗材更换。</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w:t>
      </w: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8</w:t>
      </w:r>
      <w:r>
        <w:rPr>
          <w:rFonts w:ascii="宋体" w:hAnsi="宋体" w:cs="宋体" w:eastAsia="宋体"/>
          <w:sz w:val="24"/>
          <w:color w:val="000000"/>
        </w:rPr>
        <w:t>、接到报修后</w:t>
      </w:r>
      <w:r>
        <w:rPr>
          <w:rFonts w:ascii="宋体" w:hAnsi="宋体" w:cs="宋体" w:eastAsia="宋体"/>
          <w:sz w:val="24"/>
          <w:color w:val="000000"/>
        </w:rPr>
        <w:t>2小时响应，24小时内到达现场。</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w:t>
      </w: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9</w:t>
      </w:r>
      <w:r>
        <w:rPr>
          <w:rFonts w:ascii="宋体" w:hAnsi="宋体" w:cs="宋体" w:eastAsia="宋体"/>
          <w:sz w:val="24"/>
          <w:color w:val="000000"/>
        </w:rPr>
        <w:t>、提供达到</w:t>
      </w:r>
      <w:r>
        <w:rPr>
          <w:rFonts w:ascii="宋体" w:hAnsi="宋体" w:cs="宋体" w:eastAsia="宋体"/>
          <w:sz w:val="24"/>
          <w:color w:val="000000"/>
        </w:rPr>
        <w:t>95%以上的开机率。开机率计算公式：（365-故障天数）/365，如未达到95%的开机率，每低1%，合同期限相应延长5个日历日。</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w:t>
      </w: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10</w:t>
      </w:r>
      <w:r>
        <w:rPr>
          <w:rFonts w:ascii="宋体" w:hAnsi="宋体" w:cs="宋体" w:eastAsia="宋体"/>
          <w:sz w:val="24"/>
          <w:color w:val="000000"/>
        </w:rPr>
        <w:t>、每次维修后向采购人提供书面维修报告，并向采购人提供现场故障维修讲解服务。每年为采购人提供具备厂家标准的维修保养服务，提供维修、零配件更换和维修劳务等各种服务，保证设备维护达到符合厂家标准或相应的国家质量标准的要求。</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18</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1</w:t>
      </w:r>
      <w:r>
        <w:rPr>
          <w:rFonts w:ascii="宋体" w:hAnsi="宋体" w:cs="宋体" w:eastAsia="宋体"/>
          <w:sz w:val="24"/>
          <w:color w:val="000000"/>
        </w:rPr>
        <w:t>、合同期内提供现场临床应用培训每年不少于</w:t>
      </w:r>
      <w:r>
        <w:rPr>
          <w:rFonts w:ascii="宋体" w:hAnsi="宋体" w:cs="宋体" w:eastAsia="宋体"/>
          <w:sz w:val="24"/>
          <w:color w:val="000000"/>
        </w:rPr>
        <w:t>3天。如采购人提出需要，设备故障维修后，因硬件更换及软件变更或升级，应能提供给采购人重新对操作人员和技术人员进行应用培训。</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19</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2</w:t>
      </w:r>
      <w:r>
        <w:rPr>
          <w:rFonts w:ascii="宋体" w:hAnsi="宋体" w:cs="宋体" w:eastAsia="宋体"/>
          <w:sz w:val="24"/>
          <w:color w:val="000000"/>
        </w:rPr>
        <w:t>、应用培训服务人员资质：</w:t>
      </w:r>
      <w:r>
        <w:rPr>
          <w:rFonts w:ascii="宋体" w:hAnsi="宋体" w:cs="宋体" w:eastAsia="宋体"/>
          <w:sz w:val="24"/>
          <w:b/>
          <w:color w:val="000000"/>
        </w:rPr>
        <w:t>提供相应的应用培训证书和雇佣关系证明</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20</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3</w:t>
      </w:r>
      <w:r>
        <w:rPr>
          <w:rFonts w:ascii="宋体" w:hAnsi="宋体" w:cs="宋体" w:eastAsia="宋体"/>
          <w:sz w:val="24"/>
          <w:color w:val="000000"/>
        </w:rPr>
        <w:t>、专业液氦工程师，需持有液氦工程师证书复印件及原厂设备培训证书复印件，</w:t>
      </w:r>
      <w:r>
        <w:rPr>
          <w:rFonts w:ascii="宋体" w:hAnsi="宋体" w:cs="宋体" w:eastAsia="宋体"/>
          <w:sz w:val="24"/>
          <w:b/>
          <w:color w:val="000000"/>
        </w:rPr>
        <w:t>提供相关证书复印件佐证</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21</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4</w:t>
      </w:r>
      <w:r>
        <w:rPr>
          <w:rFonts w:ascii="宋体" w:hAnsi="宋体" w:cs="宋体" w:eastAsia="宋体"/>
          <w:sz w:val="24"/>
          <w:color w:val="000000"/>
        </w:rPr>
        <w:t>、如线圈出现故障需更换新线圈，所更换线圈必须可用于人体，</w:t>
      </w:r>
      <w:r>
        <w:rPr>
          <w:rFonts w:ascii="宋体" w:hAnsi="宋体" w:cs="宋体" w:eastAsia="宋体"/>
          <w:sz w:val="24"/>
          <w:b/>
          <w:color w:val="000000"/>
        </w:rPr>
        <w:t>提供</w:t>
      </w:r>
      <w:r>
        <w:rPr>
          <w:rFonts w:ascii="宋体" w:hAnsi="宋体" w:cs="宋体" w:eastAsia="宋体"/>
          <w:sz w:val="24"/>
          <w:b/>
          <w:color w:val="000000"/>
        </w:rPr>
        <w:t>CFDA证书复印件佐证</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【项号</w:t>
      </w:r>
      <w:r>
        <w:rPr>
          <w:rFonts w:ascii="宋体" w:hAnsi="宋体" w:cs="宋体" w:eastAsia="宋体"/>
          <w:sz w:val="24"/>
          <w:color w:val="000000"/>
        </w:rPr>
        <w:t>22</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5</w:t>
      </w:r>
      <w:r>
        <w:rPr>
          <w:rFonts w:ascii="宋体" w:hAnsi="宋体" w:cs="宋体" w:eastAsia="宋体"/>
          <w:sz w:val="24"/>
          <w:color w:val="000000"/>
        </w:rPr>
        <w:t>、合同期内，提供一套原厂配套</w:t>
      </w:r>
      <w:r>
        <w:rPr>
          <w:rFonts w:ascii="宋体" w:hAnsi="宋体" w:cs="宋体" w:eastAsia="宋体"/>
          <w:sz w:val="24"/>
          <w:color w:val="000000"/>
        </w:rPr>
        <w:t>16通道肩关节线圈，</w:t>
      </w:r>
      <w:r>
        <w:rPr>
          <w:rFonts w:ascii="宋体" w:hAnsi="宋体" w:cs="宋体" w:eastAsia="宋体"/>
          <w:sz w:val="24"/>
          <w:b/>
          <w:color w:val="000000"/>
        </w:rPr>
        <w:t>提供承诺书</w:t>
      </w:r>
      <w:r>
        <w:rPr>
          <w:rFonts w:ascii="宋体" w:hAnsi="宋体" w:cs="宋体" w:eastAsia="宋体"/>
          <w:sz w:val="24"/>
          <w:color w:val="000000"/>
        </w:rPr>
        <w:t>。</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服务期自合同约定生效之日起二年</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按照招标要求、合同中相关规定以及福建省福州结核病防治院制定的相关管理条例执行</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1、期次1，说明：中标人严格按照采购人、招标文件要求及投标承诺提供服务</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1、合同签订后30日，达到付款条件起30日内，支付合同总金额的30.00%</w:t>
            </w:r>
          </w:p>
          <w:p>
            <w:pPr>
              <w:pStyle w:val="null3"/>
              <w:jc w:val="left"/>
            </w:pPr>
            <w:r>
              <w:rPr/>
              <w:t>2、项目实施12个月后经采购人确认无售后服务质量问题，达到付款条件起30日内，支付合同总金额的30.00%</w:t>
            </w:r>
          </w:p>
          <w:p>
            <w:pPr>
              <w:pStyle w:val="null3"/>
              <w:jc w:val="left"/>
            </w:pPr>
            <w:r>
              <w:rPr/>
              <w:t>3、项目实施24个月后经采购人确认无售后服务质量问题，达到付款条件起30日内，支付合同总金额的40.00%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color w:val="000000"/>
        </w:rPr>
        <w:t>8、报价要求</w:t>
      </w:r>
    </w:p>
    <w:p>
      <w:pPr>
        <w:pStyle w:val="null3"/>
        <w:ind w:firstLine="480"/>
        <w:jc w:val="both"/>
      </w:pPr>
      <w:r>
        <w:rPr>
          <w:rFonts w:ascii="宋体" w:hAnsi="宋体" w:cs="宋体" w:eastAsia="宋体"/>
          <w:sz w:val="24"/>
          <w:color w:val="000000"/>
        </w:rPr>
        <w:t>8.1本项目服务费用的形式为包干制，投标人投标报价包括以下内容：</w:t>
      </w:r>
    </w:p>
    <w:p>
      <w:pPr>
        <w:pStyle w:val="null3"/>
        <w:ind w:firstLine="480"/>
        <w:jc w:val="both"/>
      </w:pPr>
      <w:r>
        <w:rPr>
          <w:rFonts w:ascii="宋体" w:hAnsi="宋体" w:cs="宋体" w:eastAsia="宋体"/>
          <w:sz w:val="24"/>
          <w:color w:val="000000"/>
        </w:rPr>
        <w:t>本次招标服务保修期间可能更换的配件费、配件关税（若有）、配件运输费、配件保险费、定期检修保养费、税金等完成本次规定年限内各项设备维保服务所有可能产生的一切相关费用。</w:t>
      </w:r>
    </w:p>
    <w:p>
      <w:pPr>
        <w:pStyle w:val="null3"/>
        <w:ind w:firstLine="480"/>
        <w:jc w:val="both"/>
      </w:pPr>
      <w:r>
        <w:rPr>
          <w:rFonts w:ascii="宋体" w:hAnsi="宋体" w:cs="宋体" w:eastAsia="宋体"/>
          <w:sz w:val="24"/>
          <w:color w:val="000000"/>
        </w:rPr>
        <w:t>8.2投标报价还应包括可能发生的突发情况中根据采购人要求增加维修人员所需的费用。</w:t>
      </w:r>
    </w:p>
    <w:p>
      <w:pPr>
        <w:pStyle w:val="null3"/>
        <w:ind w:firstLine="480"/>
        <w:jc w:val="both"/>
      </w:pPr>
      <w:r>
        <w:rPr>
          <w:rFonts w:ascii="宋体" w:hAnsi="宋体" w:cs="宋体" w:eastAsia="宋体"/>
          <w:sz w:val="24"/>
          <w:color w:val="000000"/>
        </w:rPr>
        <w:t>9、其它要求</w:t>
      </w:r>
    </w:p>
    <w:p>
      <w:pPr>
        <w:pStyle w:val="null3"/>
        <w:ind w:firstLine="480"/>
        <w:jc w:val="both"/>
      </w:pPr>
      <w:r>
        <w:rPr>
          <w:rFonts w:ascii="宋体" w:hAnsi="宋体" w:cs="宋体" w:eastAsia="宋体"/>
          <w:sz w:val="24"/>
          <w:color w:val="000000"/>
        </w:rPr>
        <w:t>9.1违反招标文件规定及在投标过程中违法违纪，或以任何形式采取不正当竞争手段的，一经查实，由采购人按规定上报监管部门给予相应处罚，取消本次中标资格。已经中标的终止委托管理合同，一切后果由责任者自负。</w:t>
      </w:r>
    </w:p>
    <w:p>
      <w:pPr>
        <w:pStyle w:val="null3"/>
        <w:ind w:firstLine="480"/>
        <w:jc w:val="both"/>
      </w:pPr>
      <w:r>
        <w:rPr>
          <w:rFonts w:ascii="宋体" w:hAnsi="宋体" w:cs="宋体" w:eastAsia="宋体"/>
          <w:sz w:val="24"/>
          <w:color w:val="000000"/>
        </w:rPr>
        <w:t>9.2中标人应按合同规定履行全部的义务和承担全部的责任。未经采购人的允许，中标人不得将项目以任何名义和理由全部转包或部分分包，若发现转包或分包，视为中标人违约，采购人有权单方终止合同，中标人违约对采购人造成的损失的，需另行支付相应的赔偿费用。</w:t>
      </w:r>
    </w:p>
    <w:p>
      <w:pPr>
        <w:pStyle w:val="null3"/>
        <w:ind w:firstLine="480"/>
        <w:jc w:val="both"/>
      </w:pPr>
      <w:r>
        <w:rPr>
          <w:rFonts w:ascii="宋体" w:hAnsi="宋体" w:cs="宋体" w:eastAsia="宋体"/>
          <w:sz w:val="24"/>
          <w:color w:val="000000"/>
        </w:rPr>
        <w:t>9.3投标人必须对其投标文件中提供各种资料、说明、声明的真实性负责。投标人若提供虚假资料，一经发现将没收其全部保证金，并根据本文件和相关法律法规追究其相关责任，其中：虚假资料若在评标过程中，还将视为无效投标；若在评标定标后发现，还将取消其中标资格（定标后采购人有可能对中标人投标文件中的承诺内容和证明材料进行核查，中标人应无条件配合采购人的核查工作，不得托词拒绝核查或隐瞒真实情况）；若在中 标后签订合同时发现，采购人还将取消其合同签订，给采购人造成损失的，需另行赔偿并负相关责任。</w:t>
      </w:r>
    </w:p>
    <w:p>
      <w:pPr>
        <w:pStyle w:val="null3"/>
        <w:ind w:firstLine="480"/>
        <w:jc w:val="both"/>
      </w:pPr>
      <w:r>
        <w:rPr>
          <w:rFonts w:ascii="宋体" w:hAnsi="宋体" w:cs="宋体" w:eastAsia="宋体"/>
          <w:sz w:val="24"/>
          <w:color w:val="000000"/>
        </w:rPr>
        <w:t>9.4中标人维保结束后应在规定的交付使用时间之前将废物移离现场，清理妥当，费用由中标人负责。</w:t>
      </w:r>
    </w:p>
    <w:p>
      <w:pPr>
        <w:pStyle w:val="null3"/>
        <w:ind w:firstLine="480"/>
        <w:jc w:val="both"/>
      </w:pPr>
      <w:r>
        <w:rPr>
          <w:rFonts w:ascii="宋体" w:hAnsi="宋体" w:cs="宋体" w:eastAsia="宋体"/>
          <w:sz w:val="24"/>
          <w:color w:val="000000"/>
        </w:rPr>
        <w:t>10、违约责任</w:t>
      </w:r>
    </w:p>
    <w:p>
      <w:pPr>
        <w:pStyle w:val="null3"/>
        <w:ind w:firstLine="480"/>
        <w:jc w:val="both"/>
      </w:pPr>
      <w:r>
        <w:rPr>
          <w:rFonts w:ascii="宋体" w:hAnsi="宋体" w:cs="宋体" w:eastAsia="宋体"/>
          <w:sz w:val="24"/>
          <w:color w:val="000000"/>
        </w:rPr>
        <w:t>10.1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w:t>
      </w:r>
    </w:p>
    <w:p>
      <w:pPr>
        <w:pStyle w:val="null3"/>
        <w:ind w:firstLine="480"/>
        <w:jc w:val="both"/>
      </w:pPr>
      <w:r>
        <w:rPr>
          <w:rFonts w:ascii="宋体" w:hAnsi="宋体" w:cs="宋体" w:eastAsia="宋体"/>
          <w:sz w:val="24"/>
          <w:color w:val="000000"/>
        </w:rPr>
        <w:t>10.2因中标人原因造成采购合同无法按时签订，视为中标人违约，中标人违约对采购人造成的损失的，需另行支付相应的赔偿。</w:t>
      </w:r>
    </w:p>
    <w:p>
      <w:pPr>
        <w:pStyle w:val="null3"/>
        <w:ind w:firstLine="480"/>
        <w:jc w:val="both"/>
      </w:pPr>
      <w:r>
        <w:rPr>
          <w:rFonts w:ascii="宋体" w:hAnsi="宋体" w:cs="宋体" w:eastAsia="宋体"/>
          <w:sz w:val="24"/>
          <w:color w:val="000000"/>
        </w:rPr>
        <w:t>10.3在签定采购合同之后，中标人要求解除合同的，视为中标人违约，对采购人造成的损失的，中标人需支付相应的赔偿。</w:t>
      </w:r>
    </w:p>
    <w:p>
      <w:pPr>
        <w:pStyle w:val="null3"/>
        <w:ind w:firstLine="480"/>
        <w:jc w:val="both"/>
      </w:pPr>
      <w:r>
        <w:rPr>
          <w:rFonts w:ascii="宋体" w:hAnsi="宋体" w:cs="宋体" w:eastAsia="宋体"/>
          <w:sz w:val="24"/>
          <w:color w:val="000000"/>
        </w:rPr>
        <w:t>10.4因中标人原因发生重大质量事故，除依约承担赔偿责任外，还将按有关质量管理办法规定执行。同时，采购人有权保留更换中标人的权利，并报相关行政主管部门处罚。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宋体" w:hAnsi="宋体" w:cs="宋体" w:eastAsia="宋体"/>
          <w:sz w:val="24"/>
          <w:color w:val="000000"/>
        </w:rPr>
        <w:t>10.5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both"/>
      </w:pPr>
      <w:r>
        <w:rPr>
          <w:rFonts w:ascii="宋体" w:hAnsi="宋体" w:cs="宋体" w:eastAsia="宋体"/>
          <w:sz w:val="24"/>
          <w:color w:val="000000"/>
        </w:rPr>
        <w:t>10.6在明确违约责任后，中标人应在接到书面通知书起七天内支付违约金、赔偿金等。</w:t>
      </w:r>
    </w:p>
    <w:p>
      <w:pPr>
        <w:pStyle w:val="null3"/>
        <w:ind w:firstLine="480"/>
        <w:jc w:val="both"/>
      </w:pPr>
      <w:r>
        <w:rPr>
          <w:rFonts w:ascii="宋体" w:hAnsi="宋体" w:cs="宋体" w:eastAsia="宋体"/>
          <w:sz w:val="24"/>
          <w:color w:val="000000"/>
        </w:rPr>
        <w:t>10.7本招标文件未明确的其它约定事项或条款，待采购人与中标人签订合同时，由双方协商订立。</w:t>
      </w:r>
    </w:p>
    <w:p>
      <w:pPr>
        <w:pStyle w:val="null3"/>
        <w:ind w:firstLine="480"/>
        <w:jc w:val="both"/>
      </w:pPr>
      <w:r>
        <w:rPr>
          <w:rFonts w:ascii="宋体" w:hAnsi="宋体" w:cs="宋体" w:eastAsia="宋体"/>
          <w:sz w:val="24"/>
          <w:color w:val="000000"/>
        </w:rPr>
        <w:t>11、知识产权</w:t>
      </w:r>
    </w:p>
    <w:p>
      <w:pPr>
        <w:pStyle w:val="null3"/>
        <w:ind w:firstLine="480"/>
        <w:jc w:val="both"/>
      </w:pPr>
      <w:r>
        <w:rPr>
          <w:rFonts w:ascii="宋体" w:hAnsi="宋体" w:cs="宋体" w:eastAsia="宋体"/>
          <w:sz w:val="24"/>
          <w:color w:val="000000"/>
        </w:rPr>
        <w:t>中标人须保障采购人在使用该货物</w:t>
      </w:r>
      <w:r>
        <w:rPr>
          <w:rFonts w:ascii="宋体" w:hAnsi="宋体" w:cs="宋体" w:eastAsia="宋体"/>
          <w:sz w:val="24"/>
          <w:color w:val="000000"/>
        </w:rPr>
        <w:t>/服务或其任何一部分时不受到第三方关于侵犯专利权、商标权或工业设计权等知识产权的指控。如果任何第三方提出侵权指控与采购人无关，中标人须与第三方交涉并承担可能发生的责任与一切费用。如采购人因此而遭致损失的，中标人应赔偿该损失。</w:t>
      </w:r>
    </w:p>
    <w:p>
      <w:pPr>
        <w:pStyle w:val="null3"/>
        <w:ind w:firstLine="480"/>
        <w:jc w:val="both"/>
      </w:pPr>
      <w:r>
        <w:rPr>
          <w:rFonts w:ascii="宋体" w:hAnsi="宋体" w:cs="宋体" w:eastAsia="宋体"/>
          <w:sz w:val="24"/>
          <w:color w:val="000000"/>
        </w:rPr>
        <w:t>12、仲裁、诉讼条款</w:t>
      </w:r>
    </w:p>
    <w:p>
      <w:pPr>
        <w:pStyle w:val="null3"/>
        <w:ind w:firstLine="480"/>
        <w:jc w:val="both"/>
      </w:pPr>
      <w:r>
        <w:rPr>
          <w:rFonts w:ascii="宋体" w:hAnsi="宋体" w:cs="宋体" w:eastAsia="宋体"/>
          <w:sz w:val="24"/>
          <w:color w:val="000000"/>
        </w:rPr>
        <w:t>因采购或与采购合同有关的一切事项发生争议，由采购人和中标人双方友好协商解决。协商不成的，任何一方均可选择以下方式解决：向有管辖权的人民法院提起诉讼。</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本招标文件未明确的其它约定事项或条款，待采购人与中标人签订合同时，由双方协商订立。</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二-9中小企业声明函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二-12其他资格证明文件（若有）</w:t>
      </w:r>
    </w:p>
    <w:p>
      <w:pPr>
        <w:pStyle w:val="null3"/>
        <w:ind w:firstLine="960"/>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center"/>
        <w:outlineLvl w:val="2"/>
      </w:pPr>
      <w:r>
        <w:rPr>
          <w:sz w:val="28"/>
          <w:b/>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